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jc w:val="center"/>
        <w:tblLook w:val="01E0"/>
      </w:tblPr>
      <w:tblGrid>
        <w:gridCol w:w="4782"/>
        <w:gridCol w:w="4783"/>
      </w:tblGrid>
      <w:tr w:rsidR="00866089" w:rsidRPr="004063D5" w:rsidTr="00450D77">
        <w:trPr>
          <w:trHeight w:val="2003"/>
          <w:jc w:val="center"/>
        </w:trPr>
        <w:tc>
          <w:tcPr>
            <w:tcW w:w="9565" w:type="dxa"/>
            <w:gridSpan w:val="2"/>
            <w:tcBorders>
              <w:bottom w:val="single" w:sz="4" w:space="0" w:color="auto"/>
            </w:tcBorders>
          </w:tcPr>
          <w:p w:rsidR="00866089" w:rsidRPr="004063D5" w:rsidRDefault="00866089" w:rsidP="00450D7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33400" cy="65722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6089" w:rsidRPr="004063D5" w:rsidRDefault="00866089" w:rsidP="00450D77">
            <w:pPr>
              <w:pStyle w:val="msoorganizationname2"/>
              <w:widowControl w:val="0"/>
              <w:rPr>
                <w:b/>
                <w:sz w:val="28"/>
                <w:szCs w:val="28"/>
              </w:rPr>
            </w:pPr>
          </w:p>
          <w:p w:rsidR="00866089" w:rsidRPr="004063D5" w:rsidRDefault="00866089" w:rsidP="00450D77">
            <w:pPr>
              <w:pStyle w:val="msoorganizationname2"/>
              <w:widowControl w:val="0"/>
              <w:rPr>
                <w:b/>
                <w:sz w:val="28"/>
                <w:szCs w:val="28"/>
              </w:rPr>
            </w:pPr>
          </w:p>
          <w:p w:rsidR="005226F6" w:rsidRDefault="005226F6" w:rsidP="00450D77">
            <w:pPr>
              <w:pStyle w:val="msoorganizationname2"/>
              <w:widowControl w:val="0"/>
              <w:jc w:val="left"/>
              <w:rPr>
                <w:b/>
                <w:sz w:val="28"/>
                <w:szCs w:val="28"/>
              </w:rPr>
            </w:pPr>
          </w:p>
          <w:p w:rsidR="00866089" w:rsidRPr="005226F6" w:rsidRDefault="005226F6" w:rsidP="005226F6">
            <w:pPr>
              <w:pStyle w:val="msoorganizationname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226F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</w:t>
            </w:r>
          </w:p>
          <w:p w:rsidR="00866089" w:rsidRPr="004063D5" w:rsidRDefault="00866089" w:rsidP="005226F6">
            <w:pPr>
              <w:pStyle w:val="msoaddress"/>
              <w:widowControl w:val="0"/>
              <w:rPr>
                <w:b/>
                <w:sz w:val="28"/>
                <w:szCs w:val="28"/>
              </w:rPr>
            </w:pPr>
            <w:r w:rsidRPr="005226F6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7 </w:t>
            </w:r>
            <w:r w:rsidR="002F75CE" w:rsidRPr="005226F6">
              <w:rPr>
                <w:sz w:val="28"/>
                <w:szCs w:val="28"/>
              </w:rPr>
              <w:t>города Невинномысска</w:t>
            </w:r>
          </w:p>
        </w:tc>
      </w:tr>
      <w:tr w:rsidR="00866089" w:rsidRPr="004063D5" w:rsidTr="00450D77">
        <w:trPr>
          <w:trHeight w:val="860"/>
          <w:jc w:val="center"/>
        </w:trPr>
        <w:tc>
          <w:tcPr>
            <w:tcW w:w="9565" w:type="dxa"/>
            <w:gridSpan w:val="2"/>
            <w:tcBorders>
              <w:top w:val="single" w:sz="4" w:space="0" w:color="auto"/>
            </w:tcBorders>
          </w:tcPr>
          <w:p w:rsidR="00866089" w:rsidRPr="00492955" w:rsidRDefault="00866089" w:rsidP="00450D77">
            <w:pPr>
              <w:jc w:val="center"/>
              <w:rPr>
                <w:noProof/>
                <w:sz w:val="28"/>
                <w:szCs w:val="28"/>
              </w:rPr>
            </w:pPr>
          </w:p>
          <w:p w:rsidR="00866089" w:rsidRPr="00492955" w:rsidRDefault="00866089" w:rsidP="00450D77">
            <w:pPr>
              <w:jc w:val="center"/>
              <w:rPr>
                <w:noProof/>
                <w:sz w:val="28"/>
                <w:szCs w:val="28"/>
              </w:rPr>
            </w:pPr>
            <w:r w:rsidRPr="00492955">
              <w:rPr>
                <w:noProof/>
                <w:sz w:val="28"/>
                <w:szCs w:val="28"/>
              </w:rPr>
              <w:t>ПРИКАЗ</w:t>
            </w:r>
          </w:p>
          <w:p w:rsidR="00866089" w:rsidRPr="00492955" w:rsidRDefault="00866089" w:rsidP="005226F6">
            <w:pPr>
              <w:rPr>
                <w:noProof/>
                <w:sz w:val="28"/>
                <w:szCs w:val="28"/>
              </w:rPr>
            </w:pPr>
          </w:p>
        </w:tc>
      </w:tr>
      <w:tr w:rsidR="00866089" w:rsidRPr="004063D5" w:rsidTr="00450D77">
        <w:trPr>
          <w:trHeight w:val="363"/>
          <w:jc w:val="center"/>
        </w:trPr>
        <w:tc>
          <w:tcPr>
            <w:tcW w:w="4782" w:type="dxa"/>
          </w:tcPr>
          <w:p w:rsidR="00866089" w:rsidRPr="00492955" w:rsidRDefault="00957374" w:rsidP="00CA52A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</w:t>
            </w:r>
            <w:r w:rsidR="00A80F48">
              <w:rPr>
                <w:noProof/>
                <w:sz w:val="28"/>
                <w:szCs w:val="28"/>
              </w:rPr>
              <w:t>«29</w:t>
            </w:r>
            <w:r w:rsidR="00DE50B2">
              <w:rPr>
                <w:noProof/>
                <w:sz w:val="28"/>
                <w:szCs w:val="28"/>
              </w:rPr>
              <w:t xml:space="preserve">» </w:t>
            </w:r>
            <w:r w:rsidR="00A80F48">
              <w:rPr>
                <w:noProof/>
                <w:sz w:val="28"/>
                <w:szCs w:val="28"/>
              </w:rPr>
              <w:t>декабря</w:t>
            </w:r>
            <w:r w:rsidR="00DE50B2">
              <w:rPr>
                <w:noProof/>
                <w:sz w:val="28"/>
                <w:szCs w:val="28"/>
              </w:rPr>
              <w:t xml:space="preserve"> </w:t>
            </w:r>
            <w:r w:rsidR="00CA52A4">
              <w:rPr>
                <w:noProof/>
                <w:sz w:val="28"/>
                <w:szCs w:val="28"/>
              </w:rPr>
              <w:t xml:space="preserve"> </w:t>
            </w:r>
            <w:r w:rsidR="00866089" w:rsidRPr="00492955">
              <w:rPr>
                <w:noProof/>
                <w:sz w:val="28"/>
                <w:szCs w:val="28"/>
              </w:rPr>
              <w:t>201</w:t>
            </w:r>
            <w:r w:rsidR="00A80F48">
              <w:rPr>
                <w:noProof/>
                <w:sz w:val="28"/>
                <w:szCs w:val="28"/>
              </w:rPr>
              <w:t>8</w:t>
            </w:r>
            <w:r w:rsidR="00866089" w:rsidRPr="00492955">
              <w:rPr>
                <w:noProof/>
                <w:sz w:val="28"/>
                <w:szCs w:val="28"/>
              </w:rPr>
              <w:t>г.</w:t>
            </w:r>
          </w:p>
        </w:tc>
        <w:tc>
          <w:tcPr>
            <w:tcW w:w="4783" w:type="dxa"/>
          </w:tcPr>
          <w:p w:rsidR="00866089" w:rsidRPr="00492955" w:rsidRDefault="00866089" w:rsidP="00CA52A4">
            <w:pPr>
              <w:jc w:val="right"/>
              <w:rPr>
                <w:noProof/>
                <w:sz w:val="28"/>
                <w:szCs w:val="28"/>
              </w:rPr>
            </w:pPr>
            <w:r w:rsidRPr="00492955">
              <w:rPr>
                <w:noProof/>
                <w:sz w:val="28"/>
                <w:szCs w:val="28"/>
              </w:rPr>
              <w:t>№</w:t>
            </w:r>
            <w:r w:rsidR="00492955" w:rsidRPr="00492955">
              <w:rPr>
                <w:noProof/>
                <w:sz w:val="28"/>
                <w:szCs w:val="28"/>
              </w:rPr>
              <w:t xml:space="preserve"> </w:t>
            </w:r>
            <w:r w:rsidR="00A80F48">
              <w:rPr>
                <w:noProof/>
                <w:sz w:val="28"/>
                <w:szCs w:val="28"/>
              </w:rPr>
              <w:t xml:space="preserve"> 121 </w:t>
            </w:r>
            <w:r w:rsidR="00CA52A4">
              <w:rPr>
                <w:noProof/>
                <w:sz w:val="28"/>
                <w:szCs w:val="28"/>
              </w:rPr>
              <w:t>-</w:t>
            </w:r>
            <w:r w:rsidR="001F37A7" w:rsidRPr="00492955">
              <w:rPr>
                <w:noProof/>
                <w:sz w:val="28"/>
                <w:szCs w:val="28"/>
              </w:rPr>
              <w:t>о/д</w:t>
            </w:r>
          </w:p>
        </w:tc>
      </w:tr>
      <w:tr w:rsidR="00866089" w:rsidRPr="004063D5" w:rsidTr="00450D77">
        <w:trPr>
          <w:trHeight w:val="363"/>
          <w:jc w:val="center"/>
        </w:trPr>
        <w:tc>
          <w:tcPr>
            <w:tcW w:w="9565" w:type="dxa"/>
            <w:gridSpan w:val="2"/>
          </w:tcPr>
          <w:p w:rsidR="00866089" w:rsidRPr="00492955" w:rsidRDefault="005226F6" w:rsidP="00450D77">
            <w:pPr>
              <w:jc w:val="center"/>
              <w:rPr>
                <w:noProof/>
                <w:sz w:val="28"/>
                <w:szCs w:val="28"/>
              </w:rPr>
            </w:pPr>
            <w:r w:rsidRPr="00492955">
              <w:rPr>
                <w:noProof/>
                <w:sz w:val="28"/>
                <w:szCs w:val="28"/>
              </w:rPr>
              <w:t>г. Невинномысск</w:t>
            </w:r>
          </w:p>
        </w:tc>
      </w:tr>
    </w:tbl>
    <w:p w:rsidR="00D76FF0" w:rsidRPr="001F37A7" w:rsidRDefault="00756751" w:rsidP="00D76F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76FF0">
        <w:rPr>
          <w:sz w:val="28"/>
          <w:szCs w:val="28"/>
        </w:rPr>
        <w:t xml:space="preserve"> </w:t>
      </w:r>
    </w:p>
    <w:p w:rsidR="00DE50B2" w:rsidRPr="004A142E" w:rsidRDefault="00DE50B2" w:rsidP="00DE50B2">
      <w:pPr>
        <w:ind w:right="-2"/>
        <w:jc w:val="center"/>
        <w:rPr>
          <w:sz w:val="28"/>
          <w:szCs w:val="28"/>
        </w:rPr>
      </w:pPr>
    </w:p>
    <w:p w:rsidR="00DE50B2" w:rsidRDefault="00DE50B2" w:rsidP="00DE50B2">
      <w:pPr>
        <w:jc w:val="both"/>
        <w:rPr>
          <w:sz w:val="28"/>
          <w:szCs w:val="28"/>
        </w:rPr>
      </w:pPr>
    </w:p>
    <w:p w:rsidR="00DE50B2" w:rsidRDefault="00DE50B2" w:rsidP="00DE50B2">
      <w:pPr>
        <w:jc w:val="both"/>
        <w:rPr>
          <w:sz w:val="28"/>
          <w:szCs w:val="28"/>
        </w:rPr>
      </w:pPr>
    </w:p>
    <w:p w:rsidR="00DE50B2" w:rsidRDefault="00DE50B2" w:rsidP="00DE50B2">
      <w:pPr>
        <w:spacing w:line="240" w:lineRule="exact"/>
        <w:jc w:val="both"/>
        <w:rPr>
          <w:sz w:val="28"/>
          <w:szCs w:val="28"/>
        </w:rPr>
      </w:pPr>
      <w:proofErr w:type="gramStart"/>
      <w:r w:rsidRPr="00A161A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приказ </w:t>
      </w:r>
      <w:r w:rsidRPr="00ED096D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7 от 29.12.2017 № 152-о/</w:t>
      </w:r>
      <w:proofErr w:type="spellStart"/>
      <w:r w:rsidRPr="00ED096D">
        <w:rPr>
          <w:sz w:val="28"/>
          <w:szCs w:val="28"/>
        </w:rPr>
        <w:t>д</w:t>
      </w:r>
      <w:proofErr w:type="spellEnd"/>
      <w:r w:rsidRPr="00ED096D">
        <w:rPr>
          <w:sz w:val="28"/>
          <w:szCs w:val="28"/>
        </w:rPr>
        <w:t xml:space="preserve"> «Об утверждении Положения об учетной политики для целей бухгалтерского учета»</w:t>
      </w:r>
      <w:proofErr w:type="gramEnd"/>
    </w:p>
    <w:p w:rsidR="00DE50B2" w:rsidRDefault="00DE50B2" w:rsidP="00DE50B2">
      <w:pPr>
        <w:jc w:val="both"/>
        <w:rPr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161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161A9">
        <w:rPr>
          <w:sz w:val="28"/>
          <w:szCs w:val="28"/>
        </w:rPr>
        <w:t>Федеральным законом от 06.12.2011 №</w:t>
      </w:r>
      <w:r>
        <w:rPr>
          <w:sz w:val="28"/>
          <w:szCs w:val="28"/>
        </w:rPr>
        <w:t xml:space="preserve"> </w:t>
      </w:r>
      <w:r w:rsidRPr="00A161A9">
        <w:rPr>
          <w:sz w:val="28"/>
          <w:szCs w:val="28"/>
        </w:rPr>
        <w:t>402-ФЗ</w:t>
      </w:r>
      <w:r>
        <w:rPr>
          <w:sz w:val="28"/>
          <w:szCs w:val="28"/>
        </w:rPr>
        <w:t xml:space="preserve"> </w:t>
      </w:r>
      <w:r w:rsidRPr="00A161A9">
        <w:rPr>
          <w:sz w:val="28"/>
          <w:szCs w:val="28"/>
        </w:rPr>
        <w:t>«О бухгалтерском учете»,</w:t>
      </w:r>
      <w:r>
        <w:rPr>
          <w:sz w:val="28"/>
          <w:szCs w:val="28"/>
        </w:rPr>
        <w:t xml:space="preserve"> п</w:t>
      </w:r>
      <w:r w:rsidRPr="00A161A9">
        <w:rPr>
          <w:sz w:val="28"/>
          <w:szCs w:val="28"/>
        </w:rPr>
        <w:t>ри</w:t>
      </w:r>
      <w:r>
        <w:rPr>
          <w:sz w:val="28"/>
          <w:szCs w:val="28"/>
        </w:rPr>
        <w:t>казом</w:t>
      </w:r>
      <w:r w:rsidRPr="00A161A9">
        <w:rPr>
          <w:sz w:val="28"/>
          <w:szCs w:val="28"/>
        </w:rPr>
        <w:t xml:space="preserve"> Министерства финансов Российской Федерации от 01.12.2010</w:t>
      </w:r>
      <w:r>
        <w:rPr>
          <w:sz w:val="28"/>
          <w:szCs w:val="28"/>
        </w:rPr>
        <w:t xml:space="preserve"> </w:t>
      </w:r>
      <w:r w:rsidRPr="00A161A9">
        <w:rPr>
          <w:sz w:val="28"/>
          <w:szCs w:val="28"/>
        </w:rPr>
        <w:t>№ 157н</w:t>
      </w:r>
      <w:r>
        <w:rPr>
          <w:sz w:val="28"/>
          <w:szCs w:val="28"/>
        </w:rPr>
        <w:t xml:space="preserve"> </w:t>
      </w:r>
      <w:r w:rsidRPr="00A161A9">
        <w:rPr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8"/>
          <w:szCs w:val="28"/>
        </w:rPr>
        <w:t xml:space="preserve"> и инструкции по его применению»:</w:t>
      </w:r>
      <w:proofErr w:type="gramEnd"/>
    </w:p>
    <w:p w:rsidR="00DE50B2" w:rsidRDefault="00DE50B2" w:rsidP="00DE5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Приложение </w:t>
      </w:r>
      <w:r w:rsidRPr="005C7257">
        <w:rPr>
          <w:sz w:val="28"/>
          <w:szCs w:val="28"/>
        </w:rPr>
        <w:t xml:space="preserve">к приказу </w:t>
      </w:r>
      <w:r w:rsidRPr="00ED096D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7 от 29.12.2017 № 152-о/</w:t>
      </w:r>
      <w:proofErr w:type="spellStart"/>
      <w:r w:rsidRPr="00ED096D">
        <w:rPr>
          <w:sz w:val="28"/>
          <w:szCs w:val="28"/>
        </w:rPr>
        <w:t>д</w:t>
      </w:r>
      <w:proofErr w:type="spellEnd"/>
      <w:r w:rsidRPr="00ED096D">
        <w:rPr>
          <w:sz w:val="28"/>
          <w:szCs w:val="28"/>
        </w:rPr>
        <w:t xml:space="preserve"> «Об утверждении Положения </w:t>
      </w:r>
      <w:proofErr w:type="gramStart"/>
      <w:r w:rsidRPr="00ED096D">
        <w:rPr>
          <w:sz w:val="28"/>
          <w:szCs w:val="28"/>
        </w:rPr>
        <w:t>об</w:t>
      </w:r>
      <w:proofErr w:type="gramEnd"/>
      <w:r w:rsidRPr="00ED096D">
        <w:rPr>
          <w:sz w:val="28"/>
          <w:szCs w:val="28"/>
        </w:rPr>
        <w:t xml:space="preserve"> </w:t>
      </w:r>
      <w:proofErr w:type="gramStart"/>
      <w:r w:rsidRPr="00ED096D">
        <w:rPr>
          <w:sz w:val="28"/>
          <w:szCs w:val="28"/>
        </w:rPr>
        <w:t>учетной</w:t>
      </w:r>
      <w:proofErr w:type="gramEnd"/>
      <w:r w:rsidRPr="00ED096D">
        <w:rPr>
          <w:sz w:val="28"/>
          <w:szCs w:val="28"/>
        </w:rPr>
        <w:t xml:space="preserve"> политики для целей бухгалтерского учета» (далее – МБОУ</w:t>
      </w:r>
      <w:r>
        <w:rPr>
          <w:sz w:val="28"/>
          <w:szCs w:val="28"/>
        </w:rPr>
        <w:t xml:space="preserve"> СОШ</w:t>
      </w:r>
      <w:r w:rsidRPr="00ED096D">
        <w:rPr>
          <w:sz w:val="28"/>
          <w:szCs w:val="28"/>
        </w:rPr>
        <w:t xml:space="preserve"> № 7 г. Невинномысска)</w:t>
      </w:r>
      <w:r>
        <w:rPr>
          <w:sz w:val="28"/>
          <w:szCs w:val="28"/>
        </w:rPr>
        <w:t>:</w:t>
      </w:r>
    </w:p>
    <w:p w:rsidR="00DE50B2" w:rsidRDefault="00DE50B2" w:rsidP="00DE5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7 основных положений приложения к</w:t>
      </w:r>
      <w:r w:rsidRPr="005C7257">
        <w:rPr>
          <w:sz w:val="28"/>
          <w:szCs w:val="28"/>
        </w:rPr>
        <w:t xml:space="preserve"> приказу </w:t>
      </w:r>
      <w:r>
        <w:rPr>
          <w:sz w:val="28"/>
          <w:szCs w:val="28"/>
        </w:rPr>
        <w:t>МБОУ</w:t>
      </w:r>
      <w:r w:rsidRPr="00ED096D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7 г. Невинномысска</w:t>
      </w:r>
      <w:r>
        <w:rPr>
          <w:sz w:val="28"/>
          <w:szCs w:val="28"/>
        </w:rPr>
        <w:t xml:space="preserve"> изложить в следующей редакции:</w:t>
      </w:r>
    </w:p>
    <w:p w:rsidR="00DE50B2" w:rsidRDefault="00DE50B2" w:rsidP="00DE5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приказ Минфина России от 29 ноября 2017 г № 209н «О</w:t>
      </w:r>
      <w:r w:rsidRPr="003C30B6">
        <w:rPr>
          <w:sz w:val="28"/>
          <w:szCs w:val="28"/>
        </w:rPr>
        <w:t xml:space="preserve">б утверждении </w:t>
      </w:r>
      <w:proofErr w:type="gramStart"/>
      <w:r w:rsidRPr="003C30B6">
        <w:rPr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>;».</w:t>
      </w:r>
    </w:p>
    <w:p w:rsidR="00DE50B2" w:rsidRDefault="00DE50B2" w:rsidP="00DE5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9 основных положений приложения</w:t>
      </w:r>
      <w:r w:rsidRPr="005C7257">
        <w:rPr>
          <w:sz w:val="28"/>
          <w:szCs w:val="28"/>
        </w:rPr>
        <w:t xml:space="preserve"> к приказу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7 г. Невинномысска</w:t>
      </w:r>
      <w:r w:rsidRPr="005C725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E50B2" w:rsidRDefault="00DE50B2" w:rsidP="00DE50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ф</w:t>
      </w:r>
      <w:r w:rsidRPr="00BC75CC">
        <w:rPr>
          <w:sz w:val="28"/>
          <w:szCs w:val="28"/>
        </w:rPr>
        <w:t>едеральными стандартами бухгалтерского учета для организаций государственного сектора, утвержденными</w:t>
      </w:r>
      <w:r>
        <w:rPr>
          <w:sz w:val="28"/>
          <w:szCs w:val="28"/>
        </w:rPr>
        <w:t xml:space="preserve"> приказами Минфина России от 31 </w:t>
      </w:r>
      <w:r w:rsidRPr="00BC75CC">
        <w:rPr>
          <w:sz w:val="28"/>
          <w:szCs w:val="28"/>
        </w:rPr>
        <w:t xml:space="preserve">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</w:t>
      </w:r>
      <w:r w:rsidRPr="00BC75CC">
        <w:rPr>
          <w:sz w:val="28"/>
          <w:szCs w:val="28"/>
        </w:rPr>
        <w:lastRenderedPageBreak/>
        <w:t>государственного сектора», № 257н «Об утверждении федерального стандарта бухгалтерского учета для организаций государственного сектора «Основные средства», № 258н «Об утверждении федерального стандарта бухгалтерского учета для организаций государственного</w:t>
      </w:r>
      <w:proofErr w:type="gramEnd"/>
      <w:r w:rsidRPr="00BC75CC">
        <w:rPr>
          <w:sz w:val="28"/>
          <w:szCs w:val="28"/>
        </w:rPr>
        <w:t xml:space="preserve"> </w:t>
      </w:r>
      <w:proofErr w:type="gramStart"/>
      <w:r w:rsidRPr="00BC75CC">
        <w:rPr>
          <w:sz w:val="28"/>
          <w:szCs w:val="28"/>
        </w:rPr>
        <w:t>сектора «Аренда», № 259н «Об утверждении федерального стандарта бухгалтерского учета для организаций государственного сектора «Обесценение активов», № 260н «Об утверждении федерального стандарта бухгалтерского учета для организаций государственного сектора «Представление бухгалт</w:t>
      </w:r>
      <w:r>
        <w:rPr>
          <w:sz w:val="28"/>
          <w:szCs w:val="28"/>
        </w:rPr>
        <w:t xml:space="preserve">ерской (финансовой) отчетности», </w:t>
      </w:r>
      <w:r w:rsidRPr="00A161A9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2017 № 274н «</w:t>
      </w:r>
      <w:r w:rsidRPr="0052722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федерального стандарта бухгалтерского учета </w:t>
      </w:r>
      <w:r w:rsidRPr="00527229">
        <w:rPr>
          <w:sz w:val="28"/>
          <w:szCs w:val="28"/>
        </w:rPr>
        <w:t>для организаций государственного секто</w:t>
      </w:r>
      <w:r>
        <w:rPr>
          <w:sz w:val="28"/>
          <w:szCs w:val="28"/>
        </w:rPr>
        <w:t xml:space="preserve">ра «Учетная </w:t>
      </w:r>
      <w:r w:rsidRPr="00527229">
        <w:rPr>
          <w:sz w:val="28"/>
          <w:szCs w:val="28"/>
        </w:rPr>
        <w:t>политика, оцен</w:t>
      </w:r>
      <w:r>
        <w:rPr>
          <w:sz w:val="28"/>
          <w:szCs w:val="28"/>
        </w:rPr>
        <w:t>очные значения и ошибки»</w:t>
      </w:r>
      <w:r w:rsidRPr="00527229">
        <w:rPr>
          <w:sz w:val="28"/>
          <w:szCs w:val="28"/>
        </w:rPr>
        <w:t>, от 27</w:t>
      </w:r>
      <w:r>
        <w:rPr>
          <w:sz w:val="28"/>
          <w:szCs w:val="28"/>
        </w:rPr>
        <w:t xml:space="preserve"> февраля.2018 № </w:t>
      </w:r>
      <w:r w:rsidRPr="00527229">
        <w:rPr>
          <w:sz w:val="28"/>
          <w:szCs w:val="28"/>
        </w:rPr>
        <w:t>32н</w:t>
      </w:r>
      <w:r>
        <w:rPr>
          <w:sz w:val="28"/>
          <w:szCs w:val="28"/>
        </w:rPr>
        <w:t xml:space="preserve"> «</w:t>
      </w:r>
      <w:r w:rsidRPr="0052722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федерального стандарта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бухгалтерского учета </w:t>
      </w:r>
      <w:r w:rsidRPr="00527229">
        <w:rPr>
          <w:sz w:val="28"/>
          <w:szCs w:val="28"/>
        </w:rPr>
        <w:t>для организаций государственного сек</w:t>
      </w:r>
      <w:r>
        <w:rPr>
          <w:sz w:val="28"/>
          <w:szCs w:val="28"/>
        </w:rPr>
        <w:t>тора «</w:t>
      </w:r>
      <w:r w:rsidRPr="00527229">
        <w:rPr>
          <w:sz w:val="28"/>
          <w:szCs w:val="28"/>
        </w:rPr>
        <w:t>Дохо</w:t>
      </w:r>
      <w:r>
        <w:rPr>
          <w:sz w:val="28"/>
          <w:szCs w:val="28"/>
        </w:rPr>
        <w:t xml:space="preserve">ды», </w:t>
      </w:r>
      <w:r w:rsidRPr="00527229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2017 № </w:t>
      </w:r>
      <w:r w:rsidRPr="00527229">
        <w:rPr>
          <w:sz w:val="28"/>
          <w:szCs w:val="28"/>
        </w:rPr>
        <w:t>275н</w:t>
      </w:r>
      <w:r>
        <w:rPr>
          <w:sz w:val="28"/>
          <w:szCs w:val="28"/>
        </w:rPr>
        <w:t xml:space="preserve"> «</w:t>
      </w:r>
      <w:r w:rsidRPr="0052722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федерального стандарта </w:t>
      </w:r>
      <w:r w:rsidRPr="00527229">
        <w:rPr>
          <w:sz w:val="28"/>
          <w:szCs w:val="28"/>
        </w:rPr>
        <w:t>бухгал</w:t>
      </w:r>
      <w:r>
        <w:rPr>
          <w:sz w:val="28"/>
          <w:szCs w:val="28"/>
        </w:rPr>
        <w:t xml:space="preserve">терского учета </w:t>
      </w:r>
      <w:r w:rsidRPr="00527229">
        <w:rPr>
          <w:sz w:val="28"/>
          <w:szCs w:val="28"/>
        </w:rPr>
        <w:t>для организаций государственного секто</w:t>
      </w:r>
      <w:r>
        <w:rPr>
          <w:sz w:val="28"/>
          <w:szCs w:val="28"/>
        </w:rPr>
        <w:t>ра «</w:t>
      </w:r>
      <w:r w:rsidRPr="00527229">
        <w:rPr>
          <w:sz w:val="28"/>
          <w:szCs w:val="28"/>
        </w:rPr>
        <w:t>События после отчет</w:t>
      </w:r>
      <w:r>
        <w:rPr>
          <w:sz w:val="28"/>
          <w:szCs w:val="28"/>
        </w:rPr>
        <w:t xml:space="preserve">ной даты», </w:t>
      </w:r>
      <w:r w:rsidRPr="00527229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2017 № </w:t>
      </w:r>
      <w:r w:rsidRPr="00527229">
        <w:rPr>
          <w:sz w:val="28"/>
          <w:szCs w:val="28"/>
        </w:rPr>
        <w:t>278н</w:t>
      </w:r>
      <w:r>
        <w:rPr>
          <w:sz w:val="28"/>
          <w:szCs w:val="28"/>
        </w:rPr>
        <w:t xml:space="preserve"> «</w:t>
      </w:r>
      <w:r w:rsidRPr="0052722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федерального стандарта бухгалтерского учета </w:t>
      </w:r>
      <w:r w:rsidRPr="00527229">
        <w:rPr>
          <w:sz w:val="28"/>
          <w:szCs w:val="28"/>
        </w:rPr>
        <w:t>для организаций государственного секто</w:t>
      </w:r>
      <w:r>
        <w:rPr>
          <w:sz w:val="28"/>
          <w:szCs w:val="28"/>
        </w:rPr>
        <w:t>ра «</w:t>
      </w:r>
      <w:r w:rsidRPr="00527229">
        <w:rPr>
          <w:sz w:val="28"/>
          <w:szCs w:val="28"/>
        </w:rPr>
        <w:t>Отчет о движении денежных средств</w:t>
      </w:r>
      <w:r>
        <w:rPr>
          <w:sz w:val="28"/>
          <w:szCs w:val="28"/>
        </w:rPr>
        <w:t xml:space="preserve">» </w:t>
      </w:r>
      <w:r w:rsidRPr="00BC75CC">
        <w:rPr>
          <w:sz w:val="28"/>
          <w:szCs w:val="28"/>
        </w:rPr>
        <w:t>(далее – соответственно Стандарт «Концептуальные основы бухучета и отчетности», Стандарт «Основные средства», Стандарт «Аренда», Стандарт</w:t>
      </w:r>
      <w:proofErr w:type="gramEnd"/>
      <w:r w:rsidRPr="00BC75CC">
        <w:rPr>
          <w:sz w:val="28"/>
          <w:szCs w:val="28"/>
        </w:rPr>
        <w:t xml:space="preserve"> «</w:t>
      </w:r>
      <w:proofErr w:type="gramStart"/>
      <w:r w:rsidRPr="00BC75CC">
        <w:rPr>
          <w:sz w:val="28"/>
          <w:szCs w:val="28"/>
        </w:rPr>
        <w:t>Обесценение активов», Стандарт «Представление бухгалтерской (финансовой) отчетности»</w:t>
      </w:r>
      <w:r>
        <w:rPr>
          <w:sz w:val="28"/>
          <w:szCs w:val="28"/>
        </w:rPr>
        <w:t>, Стандарт «</w:t>
      </w:r>
      <w:r w:rsidRPr="00527229">
        <w:rPr>
          <w:sz w:val="28"/>
          <w:szCs w:val="28"/>
        </w:rPr>
        <w:t>Учетная политика, оцен</w:t>
      </w:r>
      <w:r>
        <w:rPr>
          <w:sz w:val="28"/>
          <w:szCs w:val="28"/>
        </w:rPr>
        <w:t>очные значения и ошибки», Стандарт «Доходы», Стандарт « События после отчетной даты», Стандарт « Отчет о движении денежных средств»</w:t>
      </w:r>
      <w:r w:rsidRPr="00BC75CC">
        <w:rPr>
          <w:sz w:val="28"/>
          <w:szCs w:val="28"/>
        </w:rPr>
        <w:t>).</w:t>
      </w:r>
      <w:r>
        <w:rPr>
          <w:sz w:val="28"/>
          <w:szCs w:val="28"/>
        </w:rPr>
        <w:t>»</w:t>
      </w:r>
      <w:proofErr w:type="gramEnd"/>
    </w:p>
    <w:p w:rsidR="00DE50B2" w:rsidRDefault="00DE50B2" w:rsidP="00DE50B2">
      <w:pPr>
        <w:pStyle w:val="copyright-info"/>
        <w:spacing w:before="0" w:beforeAutospacing="0" w:after="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пунктом 4. - 5</w:t>
      </w:r>
      <w:r w:rsidRPr="00A161A9">
        <w:rPr>
          <w:sz w:val="28"/>
          <w:szCs w:val="28"/>
        </w:rPr>
        <w:t xml:space="preserve"> следующего содержания:</w:t>
      </w:r>
    </w:p>
    <w:p w:rsidR="00DE50B2" w:rsidRPr="00F52AB8" w:rsidRDefault="00DE50B2" w:rsidP="00DE50B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D59DB">
        <w:rPr>
          <w:sz w:val="28"/>
          <w:szCs w:val="28"/>
        </w:rPr>
        <w:t>4</w:t>
      </w:r>
      <w:r w:rsidRPr="00F52AB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При внесении изменений в учетную политику </w:t>
      </w:r>
      <w:r w:rsidRPr="00F52AB8">
        <w:rPr>
          <w:color w:val="000000"/>
          <w:sz w:val="28"/>
          <w:szCs w:val="28"/>
          <w:shd w:val="clear" w:color="auto" w:fill="FFFFFF"/>
        </w:rPr>
        <w:t xml:space="preserve">главный бухгалтер </w:t>
      </w:r>
      <w:r>
        <w:rPr>
          <w:color w:val="000000"/>
          <w:sz w:val="28"/>
          <w:szCs w:val="28"/>
          <w:shd w:val="clear" w:color="auto" w:fill="FFFFFF"/>
        </w:rPr>
        <w:t xml:space="preserve">МКУ «Межведомственный учетный центр» города Невинномысска </w:t>
      </w:r>
      <w:r w:rsidRPr="00F52AB8">
        <w:rPr>
          <w:color w:val="000000"/>
          <w:sz w:val="28"/>
          <w:szCs w:val="28"/>
          <w:shd w:val="clear" w:color="auto" w:fill="FFFFFF"/>
        </w:rPr>
        <w:t xml:space="preserve">оценивает в целях сопоставления отчетности </w:t>
      </w:r>
      <w:r>
        <w:rPr>
          <w:color w:val="000000"/>
          <w:sz w:val="28"/>
          <w:szCs w:val="28"/>
          <w:shd w:val="clear" w:color="auto" w:fill="FFFFFF"/>
        </w:rPr>
        <w:t>существенность изменения показателей</w:t>
      </w:r>
      <w:r w:rsidRPr="00F52AB8">
        <w:rPr>
          <w:color w:val="000000"/>
          <w:sz w:val="28"/>
          <w:szCs w:val="28"/>
          <w:shd w:val="clear" w:color="auto" w:fill="FFFFFF"/>
        </w:rPr>
        <w:t>, отражающих финансовое положение, финансовые результаты деятельности учреждения и движение 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</w:t>
      </w:r>
      <w:r>
        <w:rPr>
          <w:color w:val="000000"/>
          <w:sz w:val="28"/>
          <w:szCs w:val="28"/>
          <w:shd w:val="clear" w:color="auto" w:fill="FFFFFF"/>
        </w:rPr>
        <w:t>формации о существенных ошибках.</w:t>
      </w:r>
      <w:r w:rsidRPr="00F52A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50B2" w:rsidRPr="00F52AB8" w:rsidRDefault="00DE50B2" w:rsidP="00DE50B2">
      <w:pPr>
        <w:pStyle w:val="copyright-info"/>
        <w:spacing w:before="0" w:beforeAutospacing="0" w:after="80" w:afterAutospacing="0"/>
        <w:ind w:firstLine="708"/>
        <w:jc w:val="both"/>
        <w:rPr>
          <w:sz w:val="28"/>
          <w:szCs w:val="28"/>
        </w:rPr>
      </w:pPr>
      <w:r w:rsidRPr="00F52AB8">
        <w:rPr>
          <w:color w:val="000000"/>
          <w:sz w:val="28"/>
          <w:szCs w:val="28"/>
          <w:shd w:val="clear" w:color="auto" w:fill="FFFFFF"/>
        </w:rPr>
        <w:t xml:space="preserve">Основание: </w:t>
      </w:r>
      <w:r w:rsidRPr="005F0E0A">
        <w:rPr>
          <w:sz w:val="28"/>
          <w:szCs w:val="28"/>
          <w:shd w:val="clear" w:color="auto" w:fill="FFFFFF"/>
        </w:rPr>
        <w:t>пункты</w:t>
      </w:r>
      <w:r>
        <w:rPr>
          <w:sz w:val="28"/>
          <w:szCs w:val="28"/>
          <w:shd w:val="clear" w:color="auto" w:fill="FFFFFF"/>
        </w:rPr>
        <w:t xml:space="preserve"> </w:t>
      </w:r>
      <w:hyperlink r:id="rId8" w:anchor="/document/99/542618106/XA00MA02N6/" w:tooltip="17. Последствия изменения учетной политики, вызванного причинами, отличными от указанных в пункте 16 настоящего Стандарта, и оказавшие или способные оказать существенные изменения показателей, отражающих финансовое положение,.." w:history="1">
        <w:r w:rsidRPr="005F0E0A">
          <w:rPr>
            <w:rStyle w:val="aa"/>
            <w:sz w:val="28"/>
            <w:szCs w:val="28"/>
          </w:rPr>
          <w:t>17</w:t>
        </w:r>
      </w:hyperlink>
      <w:r w:rsidRPr="005F0E0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/document/99/542618106/XA00M3C2MF/" w:tooltip="20. Раскрытие в бухгалтерской (финансовой) отчетности информации о положениях учетной политики субъекта учета (о применяемых способах ведения бухгалтерского учета, составе и содержании документов учетной политики) осуществляется..." w:history="1">
        <w:r w:rsidRPr="005F0E0A">
          <w:rPr>
            <w:rStyle w:val="aa"/>
            <w:sz w:val="28"/>
            <w:szCs w:val="28"/>
          </w:rPr>
          <w:t>20</w:t>
        </w:r>
      </w:hyperlink>
      <w:r w:rsidRPr="005F0E0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hyperlink r:id="rId10" w:anchor="/document/99/542618106/XA00MBG2NC/" w:tooltip="32. Ошибка отчетного периода, выявленная после даты утверждения квартальной бухгалтерской (финансовой) отчетности отражается путем выполнения в соответствии с пунктом 28 настоящего Стандарта записей по счетам бухгалтерского учета..." w:history="1">
        <w:r w:rsidRPr="005F0E0A">
          <w:rPr>
            <w:rStyle w:val="aa"/>
            <w:sz w:val="28"/>
            <w:szCs w:val="28"/>
          </w:rPr>
          <w:t>32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5F0E0A">
        <w:rPr>
          <w:sz w:val="28"/>
          <w:szCs w:val="28"/>
          <w:shd w:val="clear" w:color="auto" w:fill="FFFFFF"/>
        </w:rPr>
        <w:t>СГС</w:t>
      </w:r>
      <w:r w:rsidRPr="00F52AB8">
        <w:rPr>
          <w:color w:val="000000"/>
          <w:sz w:val="28"/>
          <w:szCs w:val="28"/>
          <w:shd w:val="clear" w:color="auto" w:fill="FFFFFF"/>
        </w:rPr>
        <w:t xml:space="preserve"> «Учетная политика, оценочные значения и ошибки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E50B2" w:rsidRDefault="00DE50B2" w:rsidP="00DE50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D59DB">
        <w:rPr>
          <w:sz w:val="28"/>
          <w:szCs w:val="28"/>
        </w:rPr>
        <w:t>5</w:t>
      </w:r>
      <w:r w:rsidRPr="005C72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7 г. Невинномысска</w:t>
      </w:r>
      <w:r w:rsidRPr="00995AC6">
        <w:rPr>
          <w:color w:val="000000"/>
          <w:sz w:val="28"/>
          <w:szCs w:val="28"/>
          <w:shd w:val="clear" w:color="auto" w:fill="FFFFFF"/>
        </w:rPr>
        <w:t xml:space="preserve"> публикует </w:t>
      </w:r>
      <w:r>
        <w:rPr>
          <w:color w:val="000000"/>
          <w:sz w:val="28"/>
          <w:szCs w:val="28"/>
          <w:shd w:val="clear" w:color="auto" w:fill="FFFFFF"/>
        </w:rPr>
        <w:t xml:space="preserve">Положение об </w:t>
      </w:r>
      <w:r w:rsidRPr="00995AC6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 xml:space="preserve">ной </w:t>
      </w:r>
      <w:r w:rsidRPr="00995AC6">
        <w:rPr>
          <w:color w:val="000000"/>
          <w:sz w:val="28"/>
          <w:szCs w:val="28"/>
        </w:rPr>
        <w:t>политик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5AC6">
        <w:rPr>
          <w:color w:val="000000"/>
          <w:sz w:val="28"/>
          <w:szCs w:val="28"/>
          <w:shd w:val="clear" w:color="auto" w:fill="FFFFFF"/>
        </w:rPr>
        <w:t xml:space="preserve">на своем официальном сайте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995AC6">
        <w:rPr>
          <w:color w:val="000000"/>
          <w:sz w:val="28"/>
          <w:szCs w:val="28"/>
          <w:shd w:val="clear" w:color="auto" w:fill="FFFFFF"/>
        </w:rPr>
        <w:t xml:space="preserve">путем размещения </w:t>
      </w:r>
      <w:r>
        <w:rPr>
          <w:color w:val="000000"/>
          <w:sz w:val="28"/>
          <w:szCs w:val="28"/>
          <w:shd w:val="clear" w:color="auto" w:fill="FFFFFF"/>
        </w:rPr>
        <w:t xml:space="preserve">копий </w:t>
      </w:r>
      <w:r w:rsidRPr="00995AC6">
        <w:rPr>
          <w:color w:val="000000"/>
          <w:sz w:val="28"/>
          <w:szCs w:val="28"/>
          <w:shd w:val="clear" w:color="auto" w:fill="FFFFFF"/>
        </w:rPr>
        <w:t>документов</w:t>
      </w:r>
      <w:r>
        <w:rPr>
          <w:color w:val="000000"/>
          <w:sz w:val="28"/>
          <w:szCs w:val="28"/>
        </w:rPr>
        <w:t xml:space="preserve"> учетной </w:t>
      </w:r>
      <w:r w:rsidRPr="00995AC6">
        <w:rPr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E50B2" w:rsidRDefault="00DE50B2" w:rsidP="00DE50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5AC6">
        <w:rPr>
          <w:color w:val="000000"/>
          <w:sz w:val="28"/>
          <w:szCs w:val="28"/>
          <w:shd w:val="clear" w:color="auto" w:fill="FFFFFF"/>
        </w:rPr>
        <w:t>Основание: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anchor="/document/99/542618106/XA00M6S2MI/" w:tooltip="Основные положения учетной политики и (или) копии документов учетной политики подлежат публичному раскрытию на официальном сайте субъекта учета (централизованной бухгалтерии) в информационно-телекоммуникационной сети Интернет." w:history="1">
        <w:r w:rsidRPr="00491BCE">
          <w:rPr>
            <w:rStyle w:val="aa"/>
            <w:sz w:val="28"/>
            <w:szCs w:val="28"/>
          </w:rPr>
          <w:t>пункт 9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5AC6">
        <w:rPr>
          <w:color w:val="000000"/>
          <w:sz w:val="28"/>
          <w:szCs w:val="28"/>
          <w:shd w:val="clear" w:color="auto" w:fill="FFFFFF"/>
        </w:rPr>
        <w:t>СГС «Учетная политика, оценочные значения и ошибки».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DE50B2" w:rsidRPr="00ED096D" w:rsidRDefault="00DE50B2" w:rsidP="00DE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96D">
        <w:rPr>
          <w:color w:val="000000"/>
          <w:sz w:val="28"/>
          <w:szCs w:val="28"/>
          <w:shd w:val="clear" w:color="auto" w:fill="FFFFFF"/>
        </w:rPr>
        <w:t xml:space="preserve">1.4. </w:t>
      </w:r>
      <w:r w:rsidRPr="00ED096D">
        <w:rPr>
          <w:sz w:val="28"/>
          <w:szCs w:val="28"/>
        </w:rPr>
        <w:t xml:space="preserve">Пункт 2.2. раздела </w:t>
      </w:r>
      <w:r w:rsidRPr="00ED096D">
        <w:rPr>
          <w:sz w:val="28"/>
          <w:szCs w:val="28"/>
          <w:lang w:val="en-US"/>
        </w:rPr>
        <w:t>IV</w:t>
      </w:r>
      <w:r w:rsidRPr="00ED096D">
        <w:rPr>
          <w:sz w:val="28"/>
          <w:szCs w:val="28"/>
        </w:rPr>
        <w:t xml:space="preserve"> изложить в следующей редакции:</w:t>
      </w:r>
    </w:p>
    <w:p w:rsidR="00DE50B2" w:rsidRPr="00ED096D" w:rsidRDefault="00DE50B2" w:rsidP="00DE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96D">
        <w:rPr>
          <w:sz w:val="28"/>
          <w:szCs w:val="28"/>
        </w:rPr>
        <w:lastRenderedPageBreak/>
        <w:t>«2.2. Каждому объекту недвижимого, а также движимого имущества стоимостью свыше 10000 руб. присваивается уникальный инвентарный номер, состоящий из 10 (десять) знаков:</w:t>
      </w:r>
    </w:p>
    <w:p w:rsidR="00DE50B2" w:rsidRPr="00ED096D" w:rsidRDefault="00DE50B2" w:rsidP="00DE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96D">
        <w:rPr>
          <w:sz w:val="28"/>
          <w:szCs w:val="28"/>
        </w:rPr>
        <w:t xml:space="preserve">1) 1 – </w:t>
      </w:r>
      <w:proofErr w:type="spellStart"/>
      <w:r w:rsidRPr="00ED096D">
        <w:rPr>
          <w:sz w:val="28"/>
          <w:szCs w:val="28"/>
        </w:rPr>
        <w:t>й</w:t>
      </w:r>
      <w:proofErr w:type="spellEnd"/>
      <w:r w:rsidRPr="00ED096D">
        <w:rPr>
          <w:sz w:val="28"/>
          <w:szCs w:val="28"/>
        </w:rPr>
        <w:t xml:space="preserve"> разряд – код источника финансирования;</w:t>
      </w:r>
    </w:p>
    <w:p w:rsidR="00DE50B2" w:rsidRPr="00ED096D" w:rsidRDefault="00DE50B2" w:rsidP="00DE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96D">
        <w:rPr>
          <w:sz w:val="28"/>
          <w:szCs w:val="28"/>
        </w:rPr>
        <w:t xml:space="preserve">2) 2-4 - </w:t>
      </w:r>
      <w:proofErr w:type="spellStart"/>
      <w:r w:rsidRPr="00ED096D">
        <w:rPr>
          <w:sz w:val="28"/>
          <w:szCs w:val="28"/>
        </w:rPr>
        <w:t>й</w:t>
      </w:r>
      <w:proofErr w:type="spellEnd"/>
      <w:r w:rsidRPr="00ED096D">
        <w:rPr>
          <w:sz w:val="28"/>
          <w:szCs w:val="28"/>
        </w:rPr>
        <w:t xml:space="preserve"> разряды – код объекта учета синтетического счета в Плане счетов бюджетного учета (приложение 1 к приказу Минфина России от 6 декабря 2010 г. № 162н);</w:t>
      </w:r>
    </w:p>
    <w:p w:rsidR="00DE50B2" w:rsidRPr="00ED096D" w:rsidRDefault="00DE50B2" w:rsidP="00DE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96D">
        <w:rPr>
          <w:sz w:val="28"/>
          <w:szCs w:val="28"/>
        </w:rPr>
        <w:t xml:space="preserve">3) 5-6 – </w:t>
      </w:r>
      <w:proofErr w:type="spellStart"/>
      <w:r w:rsidRPr="00ED096D">
        <w:rPr>
          <w:sz w:val="28"/>
          <w:szCs w:val="28"/>
        </w:rPr>
        <w:t>й</w:t>
      </w:r>
      <w:proofErr w:type="spellEnd"/>
      <w:r w:rsidRPr="00ED096D">
        <w:rPr>
          <w:sz w:val="28"/>
          <w:szCs w:val="28"/>
        </w:rPr>
        <w:t xml:space="preserve"> разряды – код группы и вида аналитического счета Плана счетов бюджетного учета (приложение 1 к приказу Минфина России от 6 декабря 2010 г. № 162н);</w:t>
      </w:r>
    </w:p>
    <w:p w:rsidR="00DE50B2" w:rsidRPr="00ED096D" w:rsidRDefault="00DE50B2" w:rsidP="00DE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96D">
        <w:rPr>
          <w:sz w:val="28"/>
          <w:szCs w:val="28"/>
        </w:rPr>
        <w:t xml:space="preserve">4) 7-10 – </w:t>
      </w:r>
      <w:proofErr w:type="spellStart"/>
      <w:r w:rsidRPr="00ED096D">
        <w:rPr>
          <w:sz w:val="28"/>
          <w:szCs w:val="28"/>
        </w:rPr>
        <w:t>й</w:t>
      </w:r>
      <w:proofErr w:type="spellEnd"/>
      <w:r w:rsidRPr="00ED096D">
        <w:rPr>
          <w:sz w:val="28"/>
          <w:szCs w:val="28"/>
        </w:rPr>
        <w:t xml:space="preserve"> разряды – порядковый номер нефинансового актива.</w:t>
      </w:r>
    </w:p>
    <w:p w:rsidR="00DE50B2" w:rsidRPr="00ED096D" w:rsidRDefault="00DE50B2" w:rsidP="00DE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96D">
        <w:rPr>
          <w:sz w:val="28"/>
          <w:szCs w:val="28"/>
        </w:rPr>
        <w:t xml:space="preserve">Основание: пункт 9 Стандарта «Основные средства», пункт 46 Инструкции к </w:t>
      </w:r>
      <w:proofErr w:type="gramStart"/>
      <w:r w:rsidRPr="00ED096D">
        <w:rPr>
          <w:sz w:val="28"/>
          <w:szCs w:val="28"/>
        </w:rPr>
        <w:t>Единому</w:t>
      </w:r>
      <w:proofErr w:type="gramEnd"/>
      <w:r w:rsidRPr="00ED096D">
        <w:rPr>
          <w:sz w:val="28"/>
          <w:szCs w:val="28"/>
        </w:rPr>
        <w:t xml:space="preserve"> планов счетов № 157н.».</w:t>
      </w:r>
    </w:p>
    <w:p w:rsidR="00DE50B2" w:rsidRDefault="00DE50B2" w:rsidP="00DE5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 Пункт </w:t>
      </w:r>
      <w:r w:rsidRPr="005D59DB">
        <w:rPr>
          <w:sz w:val="28"/>
          <w:szCs w:val="28"/>
        </w:rPr>
        <w:t>8</w:t>
      </w:r>
      <w:r>
        <w:rPr>
          <w:sz w:val="28"/>
          <w:szCs w:val="28"/>
        </w:rPr>
        <w:t xml:space="preserve">.1.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DE50B2" w:rsidRPr="006603E4" w:rsidRDefault="00DE50B2" w:rsidP="00DE5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Дебиторская задолженность списывается с балансового учета и отражается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04 «Задолженность неплатежеспособных дебиторов» на основании решения </w:t>
      </w:r>
      <w:r w:rsidRPr="005C7257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поступлению и выбытию активов </w:t>
      </w:r>
      <w:r w:rsidRPr="00D0018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D00188">
        <w:rPr>
          <w:sz w:val="28"/>
          <w:szCs w:val="28"/>
        </w:rPr>
        <w:t xml:space="preserve">ОУ </w:t>
      </w:r>
      <w:r>
        <w:rPr>
          <w:sz w:val="28"/>
          <w:szCs w:val="28"/>
        </w:rPr>
        <w:t>СОШ</w:t>
      </w:r>
      <w:r w:rsidRPr="00D00188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  <w:r w:rsidRPr="00D00188">
        <w:rPr>
          <w:sz w:val="28"/>
          <w:szCs w:val="28"/>
        </w:rPr>
        <w:t xml:space="preserve"> г. Невинномысска</w:t>
      </w:r>
      <w:r>
        <w:rPr>
          <w:sz w:val="28"/>
          <w:szCs w:val="28"/>
        </w:rPr>
        <w:t xml:space="preserve">. Списание с </w:t>
      </w:r>
      <w:proofErr w:type="spellStart"/>
      <w:r>
        <w:rPr>
          <w:sz w:val="28"/>
          <w:szCs w:val="28"/>
        </w:rPr>
        <w:t>забалансового</w:t>
      </w:r>
      <w:proofErr w:type="spellEnd"/>
      <w:r>
        <w:rPr>
          <w:sz w:val="28"/>
          <w:szCs w:val="28"/>
        </w:rPr>
        <w:t xml:space="preserve"> счета 04 «Задолженность неплатежеспособных дебиторов» осуществляется после признания ее сомнительной или безнадежной к взысканию в порядке, утвержденном Положением о признании дебиторской задолженности сомнительной или безнадежной к взысканию согласно приложению </w:t>
      </w:r>
      <w:r w:rsidRPr="005C7257">
        <w:rPr>
          <w:sz w:val="28"/>
          <w:szCs w:val="28"/>
        </w:rPr>
        <w:t xml:space="preserve">№ </w:t>
      </w:r>
      <w:r w:rsidRPr="00ED096D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Положению</w:t>
      </w:r>
      <w:proofErr w:type="gramStart"/>
      <w:r>
        <w:rPr>
          <w:sz w:val="28"/>
          <w:szCs w:val="28"/>
        </w:rPr>
        <w:t>.».</w:t>
      </w:r>
      <w:proofErr w:type="gramEnd"/>
    </w:p>
    <w:p w:rsidR="00DE50B2" w:rsidRPr="004964C7" w:rsidRDefault="00DE50B2" w:rsidP="00DE50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4C7">
        <w:rPr>
          <w:sz w:val="28"/>
          <w:szCs w:val="28"/>
        </w:rPr>
        <w:t>1.</w:t>
      </w:r>
      <w:r>
        <w:rPr>
          <w:sz w:val="28"/>
          <w:szCs w:val="28"/>
        </w:rPr>
        <w:t xml:space="preserve">6. Раздел </w:t>
      </w:r>
      <w:r>
        <w:rPr>
          <w:sz w:val="28"/>
          <w:szCs w:val="28"/>
          <w:lang w:val="en-US"/>
        </w:rPr>
        <w:t>VIII</w:t>
      </w:r>
      <w:r w:rsidRPr="004964C7">
        <w:rPr>
          <w:sz w:val="28"/>
          <w:szCs w:val="28"/>
        </w:rPr>
        <w:t xml:space="preserve"> доп</w:t>
      </w:r>
      <w:r>
        <w:rPr>
          <w:sz w:val="28"/>
          <w:szCs w:val="28"/>
        </w:rPr>
        <w:t>олнить пунктом 3</w:t>
      </w:r>
      <w:r w:rsidRPr="004964C7">
        <w:rPr>
          <w:sz w:val="28"/>
          <w:szCs w:val="28"/>
        </w:rPr>
        <w:t xml:space="preserve"> следующего содержания:</w:t>
      </w:r>
    </w:p>
    <w:p w:rsidR="00DE50B2" w:rsidRPr="004964C7" w:rsidRDefault="00DE50B2" w:rsidP="00DE50B2">
      <w:pPr>
        <w:spacing w:after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4964C7">
        <w:rPr>
          <w:sz w:val="28"/>
          <w:szCs w:val="28"/>
        </w:rPr>
        <w:t>В целях составления отчета о движении денежных средств величина де</w:t>
      </w:r>
      <w:r>
        <w:rPr>
          <w:sz w:val="28"/>
          <w:szCs w:val="28"/>
        </w:rPr>
        <w:t xml:space="preserve">нежных </w:t>
      </w:r>
      <w:r w:rsidRPr="004964C7">
        <w:rPr>
          <w:sz w:val="28"/>
          <w:szCs w:val="28"/>
        </w:rPr>
        <w:t>средств определяется прямым методом и рассчиты</w:t>
      </w:r>
      <w:r>
        <w:rPr>
          <w:sz w:val="28"/>
          <w:szCs w:val="28"/>
        </w:rPr>
        <w:t xml:space="preserve">вается как разница между всеми денежными притоками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7 г. Невинномысска</w:t>
      </w:r>
      <w:r>
        <w:rPr>
          <w:sz w:val="28"/>
          <w:szCs w:val="28"/>
        </w:rPr>
        <w:t xml:space="preserve"> </w:t>
      </w:r>
      <w:r w:rsidRPr="004964C7">
        <w:rPr>
          <w:sz w:val="28"/>
          <w:szCs w:val="28"/>
        </w:rPr>
        <w:t>от всех видов деятельности и их оттоками.</w:t>
      </w:r>
    </w:p>
    <w:p w:rsidR="00DE50B2" w:rsidRPr="00782AE8" w:rsidRDefault="00DE50B2" w:rsidP="00DE50B2">
      <w:pPr>
        <w:spacing w:after="67"/>
        <w:ind w:firstLine="708"/>
        <w:jc w:val="both"/>
        <w:rPr>
          <w:sz w:val="28"/>
          <w:szCs w:val="28"/>
        </w:rPr>
      </w:pPr>
      <w:r w:rsidRPr="004964C7">
        <w:rPr>
          <w:sz w:val="28"/>
          <w:szCs w:val="28"/>
        </w:rPr>
        <w:t>Основание:</w:t>
      </w:r>
      <w:r>
        <w:rPr>
          <w:sz w:val="28"/>
          <w:szCs w:val="28"/>
        </w:rPr>
        <w:t xml:space="preserve"> </w:t>
      </w:r>
      <w:hyperlink r:id="rId12" w:anchor="/document/99/542618111/XA00MA02N6/" w:tooltip="19. Субъект отчетности должен раскрывать в Пояснениях к бухгалтерской (финансовой) отчетности следующую информацию:" w:history="1">
        <w:r w:rsidRPr="004964C7">
          <w:rPr>
            <w:sz w:val="28"/>
            <w:szCs w:val="28"/>
          </w:rPr>
          <w:t>пункт 19</w:t>
        </w:r>
      </w:hyperlink>
      <w:r>
        <w:rPr>
          <w:sz w:val="28"/>
          <w:szCs w:val="28"/>
        </w:rPr>
        <w:t xml:space="preserve"> СГС «Отчет о движении денежных </w:t>
      </w:r>
      <w:r w:rsidRPr="004964C7">
        <w:rPr>
          <w:sz w:val="28"/>
          <w:szCs w:val="28"/>
        </w:rPr>
        <w:t>средств»</w:t>
      </w:r>
      <w:proofErr w:type="gramStart"/>
      <w:r w:rsidRPr="004964C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E50B2" w:rsidRDefault="00DE50B2" w:rsidP="00DE50B2">
      <w:pPr>
        <w:spacing w:after="67"/>
        <w:ind w:firstLine="708"/>
        <w:jc w:val="both"/>
        <w:rPr>
          <w:sz w:val="28"/>
          <w:szCs w:val="28"/>
        </w:rPr>
      </w:pPr>
      <w:r w:rsidRPr="00AA0BCB">
        <w:rPr>
          <w:sz w:val="28"/>
          <w:szCs w:val="28"/>
        </w:rPr>
        <w:t>1</w:t>
      </w:r>
      <w:r>
        <w:rPr>
          <w:sz w:val="28"/>
          <w:szCs w:val="28"/>
        </w:rPr>
        <w:t>.7. Приложение 4 к Положению об учетной политике изложить в следующей редакции:</w:t>
      </w:r>
    </w:p>
    <w:p w:rsidR="00DE50B2" w:rsidRPr="00F9125B" w:rsidRDefault="00DE50B2" w:rsidP="00DE50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125B">
        <w:rPr>
          <w:rFonts w:ascii="Times New Roman" w:hAnsi="Times New Roman" w:cs="Times New Roman"/>
          <w:sz w:val="28"/>
          <w:szCs w:val="28"/>
        </w:rPr>
        <w:t>ПЕРЕЧЕНЬ</w:t>
      </w:r>
    </w:p>
    <w:p w:rsidR="00DE50B2" w:rsidRPr="00F9125B" w:rsidRDefault="00DE50B2" w:rsidP="00DE50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25B">
        <w:rPr>
          <w:rFonts w:ascii="Times New Roman" w:hAnsi="Times New Roman" w:cs="Times New Roman"/>
          <w:sz w:val="28"/>
          <w:szCs w:val="28"/>
        </w:rPr>
        <w:t xml:space="preserve">лиц, наделённых полномочиями подписывать </w:t>
      </w:r>
      <w:proofErr w:type="gramStart"/>
      <w:r w:rsidRPr="00F9125B">
        <w:rPr>
          <w:rFonts w:ascii="Times New Roman" w:hAnsi="Times New Roman" w:cs="Times New Roman"/>
          <w:sz w:val="28"/>
          <w:szCs w:val="28"/>
        </w:rPr>
        <w:t>первичные</w:t>
      </w:r>
      <w:proofErr w:type="gramEnd"/>
    </w:p>
    <w:p w:rsidR="00DE50B2" w:rsidRPr="00F9125B" w:rsidRDefault="00DE50B2" w:rsidP="00DE50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иные учётные документы </w:t>
      </w:r>
    </w:p>
    <w:p w:rsidR="00DE50B2" w:rsidRPr="00F9125B" w:rsidRDefault="00DE50B2" w:rsidP="00DE50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3127"/>
        <w:gridCol w:w="3182"/>
      </w:tblGrid>
      <w:tr w:rsidR="00DE50B2" w:rsidRPr="00F9125B" w:rsidTr="00491FA4">
        <w:trPr>
          <w:tblHeader/>
        </w:trPr>
        <w:tc>
          <w:tcPr>
            <w:tcW w:w="3220" w:type="dxa"/>
            <w:vAlign w:val="center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первичного</w:t>
            </w:r>
            <w:proofErr w:type="gramEnd"/>
          </w:p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учетного документа</w:t>
            </w:r>
          </w:p>
        </w:tc>
        <w:tc>
          <w:tcPr>
            <w:tcW w:w="3158" w:type="dxa"/>
            <w:vAlign w:val="center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3226" w:type="dxa"/>
            <w:vAlign w:val="center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50B2" w:rsidRPr="00F9125B" w:rsidTr="00491FA4">
        <w:tc>
          <w:tcPr>
            <w:tcW w:w="3220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Банковские документы с правом первой подписи</w:t>
            </w:r>
          </w:p>
        </w:tc>
        <w:tc>
          <w:tcPr>
            <w:tcW w:w="3158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МБОУ СОШ № 7 г. Невинномысска</w:t>
            </w: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Директор МКУ Учётный центр</w:t>
            </w:r>
          </w:p>
        </w:tc>
        <w:tc>
          <w:tcPr>
            <w:tcW w:w="3226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Все виды финансовых документов</w:t>
            </w: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 xml:space="preserve">Виды финансовых документов в соответствии с </w:t>
            </w:r>
            <w:r w:rsidRPr="00DE5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карточкой образцов подписей (</w:t>
            </w:r>
            <w:proofErr w:type="gramStart"/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. по КФД 0531753)</w:t>
            </w:r>
          </w:p>
        </w:tc>
      </w:tr>
      <w:tr w:rsidR="00DE50B2" w:rsidRPr="00F9125B" w:rsidTr="00491FA4">
        <w:tc>
          <w:tcPr>
            <w:tcW w:w="3220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документы с правом второй подписи</w:t>
            </w:r>
          </w:p>
        </w:tc>
        <w:tc>
          <w:tcPr>
            <w:tcW w:w="3158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Учётный центр</w:t>
            </w: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Виды финансовых документов в соответствии с карточкой образцов подписей (</w:t>
            </w:r>
            <w:proofErr w:type="gramStart"/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. по КФД 0531753)</w:t>
            </w:r>
            <w:bookmarkStart w:id="0" w:name="_GoBack"/>
            <w:bookmarkEnd w:id="0"/>
          </w:p>
        </w:tc>
      </w:tr>
      <w:tr w:rsidR="00DE50B2" w:rsidRPr="00F9125B" w:rsidTr="00491FA4">
        <w:tc>
          <w:tcPr>
            <w:tcW w:w="3220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Документы по учёту труда и его оплаты</w:t>
            </w:r>
          </w:p>
        </w:tc>
        <w:tc>
          <w:tcPr>
            <w:tcW w:w="3158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МБОУ СОШ № 7 г. Невинномысска</w:t>
            </w:r>
          </w:p>
        </w:tc>
        <w:tc>
          <w:tcPr>
            <w:tcW w:w="3226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Все виды документов</w:t>
            </w: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B2" w:rsidRPr="00F9125B" w:rsidTr="00491FA4">
        <w:tc>
          <w:tcPr>
            <w:tcW w:w="3220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Счета на оплату товаров, работ, услуг</w:t>
            </w:r>
          </w:p>
        </w:tc>
        <w:tc>
          <w:tcPr>
            <w:tcW w:w="3158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</w:t>
            </w:r>
            <w:r w:rsidRPr="00DE50B2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МБОУ СОШ № 7 г. Невинномысска</w:t>
            </w:r>
          </w:p>
        </w:tc>
        <w:tc>
          <w:tcPr>
            <w:tcW w:w="3226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Все виды документов</w:t>
            </w:r>
          </w:p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B2" w:rsidRPr="00F9125B" w:rsidTr="00491FA4">
        <w:tc>
          <w:tcPr>
            <w:tcW w:w="3220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Акты выполненных работ, услуг</w:t>
            </w:r>
          </w:p>
        </w:tc>
        <w:tc>
          <w:tcPr>
            <w:tcW w:w="3158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</w:t>
            </w:r>
            <w:r w:rsidRPr="00DE50B2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МБОУ СОШ № 7 г. Невинномысска</w:t>
            </w:r>
          </w:p>
        </w:tc>
        <w:tc>
          <w:tcPr>
            <w:tcW w:w="3226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Все виды документов</w:t>
            </w:r>
          </w:p>
        </w:tc>
      </w:tr>
      <w:tr w:rsidR="00DE50B2" w:rsidRPr="00F9125B" w:rsidTr="00491FA4">
        <w:tc>
          <w:tcPr>
            <w:tcW w:w="3220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Товарные накладные на получение материальных ценностей</w:t>
            </w:r>
          </w:p>
        </w:tc>
        <w:tc>
          <w:tcPr>
            <w:tcW w:w="3158" w:type="dxa"/>
          </w:tcPr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B2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  <w:r w:rsidRPr="00DE50B2">
              <w:rPr>
                <w:rFonts w:ascii="Times New Roman" w:hAnsi="Times New Roman" w:cs="Times New Roman"/>
                <w:sz w:val="28"/>
                <w:szCs w:val="28"/>
              </w:rPr>
              <w:t>МБОУ СОШ № 7 г. Невинномысска</w:t>
            </w:r>
          </w:p>
          <w:p w:rsidR="00DE50B2" w:rsidRPr="00DE50B2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25B">
              <w:rPr>
                <w:rFonts w:ascii="Times New Roman" w:hAnsi="Times New Roman" w:cs="Times New Roman"/>
                <w:sz w:val="28"/>
                <w:szCs w:val="28"/>
              </w:rPr>
              <w:t>Все виды документов</w:t>
            </w:r>
          </w:p>
          <w:p w:rsidR="00DE50B2" w:rsidRPr="00F9125B" w:rsidRDefault="00DE50B2" w:rsidP="00491FA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0B2" w:rsidRPr="00AA0BCB" w:rsidRDefault="00DE50B2" w:rsidP="00DE50B2">
      <w:pPr>
        <w:spacing w:after="67"/>
        <w:ind w:firstLine="708"/>
        <w:jc w:val="both"/>
        <w:rPr>
          <w:sz w:val="28"/>
          <w:szCs w:val="28"/>
        </w:rPr>
      </w:pPr>
    </w:p>
    <w:p w:rsidR="00DE50B2" w:rsidRDefault="00DE50B2" w:rsidP="00DE50B2">
      <w:pPr>
        <w:spacing w:after="6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Внести изменения в пункт 4 (График проведения инвентаризации) Приложения 5 к Положению об учетной политике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7 г. Невинномысска</w:t>
      </w:r>
      <w:r>
        <w:rPr>
          <w:sz w:val="28"/>
          <w:szCs w:val="28"/>
        </w:rPr>
        <w:t xml:space="preserve">, заменив в строке </w:t>
      </w:r>
      <w:r w:rsidRPr="006A2662">
        <w:rPr>
          <w:sz w:val="28"/>
          <w:szCs w:val="28"/>
        </w:rPr>
        <w:t>3, 6 и 7</w:t>
      </w:r>
      <w:r>
        <w:rPr>
          <w:sz w:val="28"/>
          <w:szCs w:val="28"/>
        </w:rPr>
        <w:t xml:space="preserve"> слова «ноября» на слова «января». </w:t>
      </w:r>
    </w:p>
    <w:p w:rsidR="00DE50B2" w:rsidRDefault="00DE50B2" w:rsidP="00DE5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Настоящие изменения </w:t>
      </w:r>
      <w:r w:rsidRPr="00A161A9">
        <w:rPr>
          <w:sz w:val="28"/>
          <w:szCs w:val="28"/>
        </w:rPr>
        <w:t xml:space="preserve">в </w:t>
      </w:r>
      <w:r w:rsidRPr="005C7257">
        <w:rPr>
          <w:sz w:val="28"/>
          <w:szCs w:val="28"/>
        </w:rPr>
        <w:t>при</w:t>
      </w:r>
      <w:r>
        <w:rPr>
          <w:sz w:val="28"/>
          <w:szCs w:val="28"/>
        </w:rPr>
        <w:t>каз</w:t>
      </w:r>
      <w:r w:rsidRPr="005C7257">
        <w:rPr>
          <w:sz w:val="28"/>
          <w:szCs w:val="28"/>
        </w:rPr>
        <w:t xml:space="preserve">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7 г. Невинномысска от 29.12.2017 № 152-о/</w:t>
      </w:r>
      <w:proofErr w:type="spellStart"/>
      <w:r w:rsidRPr="00ED096D">
        <w:rPr>
          <w:sz w:val="28"/>
          <w:szCs w:val="28"/>
        </w:rPr>
        <w:t>д</w:t>
      </w:r>
      <w:proofErr w:type="spellEnd"/>
      <w:r w:rsidRPr="00ED096D">
        <w:rPr>
          <w:sz w:val="28"/>
          <w:szCs w:val="28"/>
        </w:rPr>
        <w:t xml:space="preserve"> «Об утверждении Положения об учетной политике для целей бухгалтерского учета»</w:t>
      </w:r>
      <w:r w:rsidRPr="00D00188">
        <w:rPr>
          <w:sz w:val="28"/>
          <w:szCs w:val="28"/>
        </w:rPr>
        <w:t xml:space="preserve"> вступают в силу с 01 января 2019 г.</w:t>
      </w:r>
    </w:p>
    <w:p w:rsidR="00DE50B2" w:rsidRDefault="00DE50B2" w:rsidP="00DE5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E50B2" w:rsidRDefault="00DE50B2" w:rsidP="00DE50B2">
      <w:pPr>
        <w:ind w:firstLine="709"/>
        <w:rPr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DE50B2" w:rsidRPr="00491BCE" w:rsidRDefault="00DE50B2" w:rsidP="00DE50B2">
      <w:pPr>
        <w:ind w:firstLine="708"/>
        <w:jc w:val="both"/>
        <w:rPr>
          <w:sz w:val="28"/>
          <w:szCs w:val="28"/>
        </w:rPr>
      </w:pPr>
    </w:p>
    <w:p w:rsidR="00DE50B2" w:rsidRPr="00491BCE" w:rsidRDefault="00DE50B2" w:rsidP="00DE5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50B2" w:rsidRPr="00ED096D" w:rsidRDefault="00DE50B2" w:rsidP="00DE50B2">
      <w:pPr>
        <w:pStyle w:val="a4"/>
        <w:tabs>
          <w:tab w:val="left" w:pos="1843"/>
          <w:tab w:val="left" w:pos="8788"/>
        </w:tabs>
        <w:spacing w:line="240" w:lineRule="exact"/>
        <w:rPr>
          <w:b w:val="0"/>
          <w:szCs w:val="28"/>
        </w:rPr>
      </w:pPr>
      <w:r>
        <w:rPr>
          <w:b w:val="0"/>
        </w:rPr>
        <w:t xml:space="preserve">Директор </w:t>
      </w:r>
      <w:r w:rsidRPr="00ED096D">
        <w:rPr>
          <w:b w:val="0"/>
        </w:rPr>
        <w:t xml:space="preserve"> </w:t>
      </w:r>
      <w:r w:rsidRPr="00ED096D">
        <w:rPr>
          <w:b w:val="0"/>
          <w:szCs w:val="28"/>
        </w:rPr>
        <w:t xml:space="preserve">МБОУ </w:t>
      </w:r>
      <w:r w:rsidRPr="0085590A">
        <w:rPr>
          <w:b w:val="0"/>
          <w:szCs w:val="28"/>
        </w:rPr>
        <w:t>СОШ</w:t>
      </w:r>
      <w:r w:rsidRPr="00ED096D">
        <w:rPr>
          <w:b w:val="0"/>
          <w:szCs w:val="28"/>
        </w:rPr>
        <w:t xml:space="preserve"> № 7</w:t>
      </w:r>
    </w:p>
    <w:p w:rsidR="00DE50B2" w:rsidRPr="004F6E1F" w:rsidRDefault="00DE50B2" w:rsidP="00DE50B2">
      <w:pPr>
        <w:pStyle w:val="a4"/>
        <w:tabs>
          <w:tab w:val="left" w:pos="1843"/>
          <w:tab w:val="left" w:pos="8788"/>
        </w:tabs>
        <w:spacing w:line="240" w:lineRule="exact"/>
        <w:rPr>
          <w:b w:val="0"/>
          <w:highlight w:val="yellow"/>
        </w:rPr>
      </w:pPr>
      <w:r w:rsidRPr="00ED096D">
        <w:rPr>
          <w:b w:val="0"/>
          <w:szCs w:val="28"/>
        </w:rPr>
        <w:t xml:space="preserve">г. Невинномысска                   </w:t>
      </w:r>
      <w:r w:rsidRPr="00ED096D">
        <w:rPr>
          <w:b w:val="0"/>
        </w:rPr>
        <w:t xml:space="preserve">                                                            </w:t>
      </w:r>
      <w:r>
        <w:rPr>
          <w:b w:val="0"/>
        </w:rPr>
        <w:t xml:space="preserve">И.Л. </w:t>
      </w:r>
      <w:proofErr w:type="spellStart"/>
      <w:r>
        <w:rPr>
          <w:b w:val="0"/>
        </w:rPr>
        <w:t>Гусейн</w:t>
      </w:r>
      <w:proofErr w:type="spellEnd"/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ind w:firstLine="708"/>
        <w:jc w:val="both"/>
        <w:rPr>
          <w:b/>
          <w:sz w:val="28"/>
          <w:szCs w:val="28"/>
        </w:rPr>
      </w:pPr>
    </w:p>
    <w:p w:rsidR="00DE50B2" w:rsidRDefault="00DE50B2" w:rsidP="00DE50B2">
      <w:pPr>
        <w:tabs>
          <w:tab w:val="left" w:pos="7630"/>
        </w:tabs>
        <w:rPr>
          <w:sz w:val="28"/>
          <w:szCs w:val="28"/>
        </w:rPr>
      </w:pPr>
    </w:p>
    <w:p w:rsidR="00DE50B2" w:rsidRDefault="00DE50B2" w:rsidP="00DE50B2">
      <w:pPr>
        <w:tabs>
          <w:tab w:val="left" w:pos="7630"/>
        </w:tabs>
        <w:rPr>
          <w:sz w:val="28"/>
          <w:szCs w:val="28"/>
        </w:rPr>
      </w:pPr>
    </w:p>
    <w:p w:rsidR="00DE50B2" w:rsidRDefault="00DE50B2" w:rsidP="00DE50B2">
      <w:pPr>
        <w:tabs>
          <w:tab w:val="left" w:pos="7630"/>
        </w:tabs>
        <w:rPr>
          <w:sz w:val="28"/>
          <w:szCs w:val="28"/>
        </w:rPr>
      </w:pPr>
    </w:p>
    <w:p w:rsidR="00DE50B2" w:rsidRDefault="00DE50B2" w:rsidP="00DE50B2">
      <w:pPr>
        <w:jc w:val="right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 </w:t>
      </w:r>
      <w:r w:rsidRPr="00F429F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F429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D00188">
        <w:rPr>
          <w:color w:val="000000"/>
          <w:sz w:val="28"/>
          <w:szCs w:val="28"/>
        </w:rPr>
        <w:t>7</w:t>
      </w:r>
    </w:p>
    <w:p w:rsidR="00DE50B2" w:rsidRDefault="00DE50B2" w:rsidP="00DE50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 об </w:t>
      </w:r>
      <w:proofErr w:type="gramStart"/>
      <w:r>
        <w:rPr>
          <w:sz w:val="28"/>
          <w:szCs w:val="28"/>
        </w:rPr>
        <w:t>учетной</w:t>
      </w:r>
      <w:proofErr w:type="gramEnd"/>
      <w:r>
        <w:rPr>
          <w:sz w:val="28"/>
          <w:szCs w:val="28"/>
        </w:rPr>
        <w:t xml:space="preserve"> </w:t>
      </w:r>
    </w:p>
    <w:p w:rsidR="00DE50B2" w:rsidRPr="00D00188" w:rsidRDefault="00DE50B2" w:rsidP="00DE50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политике </w:t>
      </w:r>
      <w:r w:rsidRPr="00ED096D">
        <w:rPr>
          <w:sz w:val="28"/>
          <w:szCs w:val="28"/>
        </w:rPr>
        <w:t>МБОУ</w:t>
      </w:r>
      <w:r w:rsidRPr="0085590A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DE50B2" w:rsidRPr="00D00188" w:rsidRDefault="00DE50B2" w:rsidP="00DE50B2">
      <w:pPr>
        <w:jc w:val="right"/>
        <w:rPr>
          <w:sz w:val="28"/>
          <w:szCs w:val="28"/>
        </w:rPr>
      </w:pPr>
      <w:r w:rsidRPr="00D00188">
        <w:rPr>
          <w:sz w:val="28"/>
          <w:szCs w:val="28"/>
        </w:rPr>
        <w:t>г. Невинномысска</w:t>
      </w:r>
    </w:p>
    <w:p w:rsidR="00DE50B2" w:rsidRPr="004B526C" w:rsidRDefault="00DE50B2" w:rsidP="00DE50B2">
      <w:pPr>
        <w:rPr>
          <w:color w:val="000000"/>
          <w:sz w:val="28"/>
          <w:szCs w:val="28"/>
        </w:rPr>
      </w:pPr>
    </w:p>
    <w:p w:rsidR="00DE50B2" w:rsidRPr="00C52FDF" w:rsidRDefault="00DE50B2" w:rsidP="00DE50B2">
      <w:pPr>
        <w:jc w:val="center"/>
        <w:rPr>
          <w:bCs/>
          <w:color w:val="000000"/>
          <w:sz w:val="28"/>
          <w:szCs w:val="28"/>
        </w:rPr>
      </w:pPr>
      <w:r w:rsidRPr="00C52FDF">
        <w:rPr>
          <w:bCs/>
          <w:color w:val="000000"/>
          <w:sz w:val="28"/>
          <w:szCs w:val="28"/>
        </w:rPr>
        <w:t>ПОЛОЖЕНИЕ</w:t>
      </w:r>
    </w:p>
    <w:p w:rsidR="00DE50B2" w:rsidRPr="00C52FDF" w:rsidRDefault="00DE50B2" w:rsidP="00DE50B2">
      <w:pPr>
        <w:jc w:val="center"/>
        <w:rPr>
          <w:color w:val="000000"/>
          <w:sz w:val="28"/>
          <w:szCs w:val="28"/>
        </w:rPr>
      </w:pPr>
      <w:r w:rsidRPr="00C52FDF">
        <w:rPr>
          <w:bCs/>
          <w:color w:val="000000"/>
          <w:sz w:val="28"/>
          <w:szCs w:val="28"/>
        </w:rPr>
        <w:t>о признании дебиторской задолженности сомнительной или безнадежной к взысканию</w:t>
      </w:r>
      <w:r w:rsidRPr="00C52FDF">
        <w:rPr>
          <w:color w:val="000000"/>
          <w:sz w:val="28"/>
          <w:szCs w:val="28"/>
        </w:rPr>
        <w:br/>
      </w:r>
    </w:p>
    <w:p w:rsidR="00DE50B2" w:rsidRPr="00C52FDF" w:rsidRDefault="00DE50B2" w:rsidP="00DE50B2">
      <w:pPr>
        <w:jc w:val="center"/>
        <w:rPr>
          <w:color w:val="000000"/>
          <w:sz w:val="28"/>
          <w:szCs w:val="28"/>
        </w:rPr>
      </w:pPr>
      <w:r w:rsidRPr="00C52FDF">
        <w:rPr>
          <w:bCs/>
          <w:color w:val="000000"/>
          <w:sz w:val="28"/>
          <w:szCs w:val="28"/>
        </w:rPr>
        <w:t>1. Общие положения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1.1. </w:t>
      </w:r>
      <w:proofErr w:type="gramStart"/>
      <w:r w:rsidRPr="0053123A">
        <w:rPr>
          <w:color w:val="000000"/>
          <w:sz w:val="28"/>
          <w:szCs w:val="28"/>
        </w:rPr>
        <w:t xml:space="preserve">Настоящее Положение разработано в соответствии с Гражданским кодексом, </w:t>
      </w:r>
      <w:r>
        <w:rPr>
          <w:sz w:val="28"/>
          <w:szCs w:val="28"/>
        </w:rPr>
        <w:t>Федеральным з</w:t>
      </w:r>
      <w:r w:rsidRPr="00F87BED">
        <w:rPr>
          <w:sz w:val="28"/>
          <w:szCs w:val="28"/>
        </w:rPr>
        <w:t>аконом от 2 октября 2007 г. № 229-ФЗ</w:t>
      </w:r>
      <w:r>
        <w:rPr>
          <w:sz w:val="28"/>
          <w:szCs w:val="28"/>
        </w:rPr>
        <w:t xml:space="preserve"> «Об исполнительном производстве»</w:t>
      </w:r>
      <w:r w:rsidRPr="00F87BE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5B0807">
        <w:rPr>
          <w:color w:val="000000"/>
          <w:sz w:val="28"/>
          <w:szCs w:val="28"/>
        </w:rPr>
        <w:t xml:space="preserve">и </w:t>
      </w:r>
      <w:r w:rsidRPr="005B0807">
        <w:rPr>
          <w:sz w:val="28"/>
          <w:szCs w:val="28"/>
        </w:rPr>
        <w:t>Приказом Министерства финансов</w:t>
      </w:r>
      <w:r>
        <w:rPr>
          <w:sz w:val="28"/>
          <w:szCs w:val="28"/>
        </w:rPr>
        <w:t xml:space="preserve"> Российской федерации</w:t>
      </w:r>
      <w:r w:rsidRPr="005B0807">
        <w:rPr>
          <w:sz w:val="28"/>
          <w:szCs w:val="28"/>
        </w:rPr>
        <w:t xml:space="preserve"> </w:t>
      </w:r>
      <w:r>
        <w:rPr>
          <w:sz w:val="28"/>
          <w:szCs w:val="28"/>
        </w:rPr>
        <w:t>от 30 ноября 2017 г.</w:t>
      </w:r>
      <w:r w:rsidRPr="005B0807">
        <w:rPr>
          <w:sz w:val="28"/>
          <w:szCs w:val="28"/>
        </w:rPr>
        <w:t xml:space="preserve"> 32н </w:t>
      </w:r>
      <w:r>
        <w:rPr>
          <w:sz w:val="28"/>
          <w:szCs w:val="28"/>
        </w:rPr>
        <w:t>«О</w:t>
      </w:r>
      <w:r w:rsidRPr="005B0807">
        <w:rPr>
          <w:sz w:val="28"/>
          <w:szCs w:val="28"/>
        </w:rPr>
        <w:t xml:space="preserve"> порядке осуществления территориальными органами федерального казначейства полномочий получателя средств федерального бюджета (бюджета субъекта российской федерации) по перечислению межбюджетных трансфертов, предоставляемых из федерального бюджета (бюджета субъекта российской федерации) бюджету</w:t>
      </w:r>
      <w:proofErr w:type="gramEnd"/>
      <w:r w:rsidRPr="005B0807">
        <w:rPr>
          <w:sz w:val="28"/>
          <w:szCs w:val="28"/>
        </w:rPr>
        <w:t xml:space="preserve"> субъекта российской федерации (местному бюджету) в форме субсидий, субвенций и иных межбюджетных трансфертов, имеющих целевое назначение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1.2. Положение устанавливает правила и условия признания сомнительной или безнадежной к взысканию дебиторской задолженности</w:t>
      </w:r>
      <w:r w:rsidRPr="00D15F9A">
        <w:rPr>
          <w:sz w:val="28"/>
          <w:szCs w:val="28"/>
        </w:rPr>
        <w:t xml:space="preserve"> </w:t>
      </w:r>
      <w:r w:rsidRPr="00ED096D">
        <w:rPr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№ 7 (далее - 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 г. Невинномысска</w:t>
      </w:r>
      <w:r w:rsidRPr="00ED096D">
        <w:rPr>
          <w:sz w:val="28"/>
          <w:szCs w:val="28"/>
        </w:rPr>
        <w:t>)</w:t>
      </w:r>
      <w:r w:rsidRPr="00D00188">
        <w:rPr>
          <w:color w:val="000000"/>
          <w:sz w:val="28"/>
          <w:szCs w:val="28"/>
        </w:rPr>
        <w:t>.</w:t>
      </w:r>
    </w:p>
    <w:p w:rsidR="00DE50B2" w:rsidRDefault="00DE50B2" w:rsidP="00DE50B2">
      <w:pPr>
        <w:jc w:val="center"/>
        <w:rPr>
          <w:b/>
          <w:bCs/>
          <w:color w:val="000000"/>
          <w:sz w:val="28"/>
          <w:szCs w:val="28"/>
        </w:rPr>
      </w:pPr>
    </w:p>
    <w:p w:rsidR="00DE50B2" w:rsidRPr="00C52FDF" w:rsidRDefault="00DE50B2" w:rsidP="00DE50B2">
      <w:pPr>
        <w:jc w:val="center"/>
        <w:rPr>
          <w:bCs/>
          <w:color w:val="000000"/>
          <w:sz w:val="28"/>
          <w:szCs w:val="28"/>
        </w:rPr>
      </w:pPr>
      <w:r w:rsidRPr="00C52FDF">
        <w:rPr>
          <w:bCs/>
          <w:color w:val="000000"/>
          <w:sz w:val="28"/>
          <w:szCs w:val="28"/>
        </w:rPr>
        <w:t>2. Критерии признания дебиторской задолженности сомнительной или безнадежной к взысканию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2.1. Безнадежной к взысканию признается дебиторская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2.2. Основанием для признания дебиторской задолженности безнадежной к взысканию является: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lastRenderedPageBreak/>
        <w:t>– определение о завершении конкурсного производства по делу о банкротстве в отношении индивидуального предпринимателя или крестьянского (фермерского) хозяйства;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proofErr w:type="gramStart"/>
      <w:r w:rsidRPr="004B526C">
        <w:rPr>
          <w:color w:val="000000"/>
          <w:sz w:val="28"/>
          <w:szCs w:val="28"/>
        </w:rPr>
        <w:t xml:space="preserve"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</w:t>
      </w:r>
      <w:r w:rsidRPr="009E24EC">
        <w:rPr>
          <w:color w:val="000000"/>
          <w:sz w:val="28"/>
          <w:szCs w:val="28"/>
        </w:rPr>
        <w:t xml:space="preserve">46 </w:t>
      </w:r>
      <w:r>
        <w:rPr>
          <w:sz w:val="28"/>
          <w:szCs w:val="28"/>
        </w:rPr>
        <w:t>П</w:t>
      </w:r>
      <w:r w:rsidRPr="009E24EC">
        <w:rPr>
          <w:sz w:val="28"/>
          <w:szCs w:val="28"/>
        </w:rPr>
        <w:t>риказ</w:t>
      </w:r>
      <w:r>
        <w:rPr>
          <w:sz w:val="28"/>
          <w:szCs w:val="28"/>
        </w:rPr>
        <w:t>а Министерства финансов Российской Федерации от 13 декабря 2017 г.</w:t>
      </w:r>
      <w:r w:rsidRPr="009E24EC">
        <w:rPr>
          <w:sz w:val="28"/>
          <w:szCs w:val="28"/>
        </w:rPr>
        <w:t xml:space="preserve"> 229н </w:t>
      </w:r>
      <w:r>
        <w:rPr>
          <w:sz w:val="28"/>
          <w:szCs w:val="28"/>
        </w:rPr>
        <w:t>«О</w:t>
      </w:r>
      <w:r w:rsidRPr="009E24EC">
        <w:rPr>
          <w:sz w:val="28"/>
          <w:szCs w:val="28"/>
        </w:rPr>
        <w:t>б утверждении форм и порядка формирования информации о неисполненных обязательствах организации, источником финансового обеспечения которых являются не использованные на 1 января текущего финансового года остатки субсидий и бюджетных инвестиций, предоставленных из</w:t>
      </w:r>
      <w:proofErr w:type="gramEnd"/>
      <w:r w:rsidRPr="009E24EC">
        <w:rPr>
          <w:sz w:val="28"/>
          <w:szCs w:val="28"/>
        </w:rPr>
        <w:t xml:space="preserve"> </w:t>
      </w:r>
      <w:proofErr w:type="gramStart"/>
      <w:r w:rsidRPr="009E24EC">
        <w:rPr>
          <w:sz w:val="28"/>
          <w:szCs w:val="28"/>
        </w:rPr>
        <w:t>федерального бюджета юридическим лицам, и направлениях их использования, а также форм и порядка формирования информации об использовании средств от возврата ранее произведенных организациями выплат, источником финансового обеспечения которых являются субсидии и бюджетные инвестиции, предоставленные из федерального бюджета юридическим лицам, с указанием причин их образования</w:t>
      </w:r>
      <w:r w:rsidRPr="003E5475">
        <w:rPr>
          <w:color w:val="000000"/>
          <w:sz w:val="28"/>
          <w:szCs w:val="28"/>
        </w:rPr>
        <w:t>;</w:t>
      </w:r>
      <w:proofErr w:type="gramEnd"/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– истечение срока исковой давности, если </w:t>
      </w:r>
      <w:r w:rsidRPr="00ED096D">
        <w:rPr>
          <w:color w:val="000000"/>
          <w:sz w:val="28"/>
          <w:szCs w:val="28"/>
        </w:rPr>
        <w:t xml:space="preserve">принимаемые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 г. Невинномысска </w:t>
      </w:r>
      <w:r w:rsidRPr="004B526C">
        <w:rPr>
          <w:color w:val="000000"/>
          <w:sz w:val="28"/>
          <w:szCs w:val="28"/>
        </w:rPr>
        <w:t>меры не принесли результата при условии, что срок исковой давности не прерывался и не приостанавливался в порядке, установленном гражданским законодательством;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2.3 Сомнительной </w:t>
      </w:r>
      <w:r w:rsidRPr="004B526C">
        <w:rPr>
          <w:color w:val="000000"/>
          <w:sz w:val="28"/>
          <w:szCs w:val="28"/>
          <w:shd w:val="clear" w:color="auto" w:fill="FFFFFF"/>
        </w:rPr>
        <w:t>признается задолженность при условии, что должник нарушил сроки исполнения обязательства, и наличии одного из следующих обст</w:t>
      </w:r>
      <w:r w:rsidRPr="004B526C">
        <w:rPr>
          <w:color w:val="000000"/>
          <w:sz w:val="28"/>
          <w:szCs w:val="28"/>
        </w:rPr>
        <w:t>оятельств: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отсутствие обеспечения долга залогом, задатком, поручительством, банковской гарантией и т. п.;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возбуждение процедуры банкротства в отношении должника.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2.4. Не признаются сомнительными: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обязательство должника, просрочка исполнения которого не превышает 30 дней;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задолженность заказчиков по договорам оказания услуг или выполнения работ, по которым срок действия договора не истек.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</w:p>
    <w:p w:rsidR="00DE50B2" w:rsidRPr="00C52FDF" w:rsidRDefault="00DE50B2" w:rsidP="00DE50B2">
      <w:pPr>
        <w:jc w:val="center"/>
        <w:rPr>
          <w:bCs/>
          <w:color w:val="000000"/>
          <w:sz w:val="28"/>
          <w:szCs w:val="28"/>
        </w:rPr>
      </w:pPr>
      <w:r w:rsidRPr="00C52FDF">
        <w:rPr>
          <w:color w:val="000000"/>
          <w:sz w:val="28"/>
          <w:szCs w:val="28"/>
        </w:rPr>
        <w:lastRenderedPageBreak/>
        <w:t xml:space="preserve">3. Порядок </w:t>
      </w:r>
      <w:r w:rsidRPr="00C52FDF">
        <w:rPr>
          <w:bCs/>
          <w:color w:val="000000"/>
          <w:sz w:val="28"/>
          <w:szCs w:val="28"/>
        </w:rPr>
        <w:t>признания дебиторской задолженности сомнительной или безнадежной к взысканию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3.1. Решение о признании дебиторской задолженности сомнительной или безнадежной к взысканию принимает </w:t>
      </w:r>
      <w:r w:rsidRPr="00D00188">
        <w:rPr>
          <w:color w:val="000000"/>
          <w:sz w:val="28"/>
          <w:szCs w:val="28"/>
        </w:rPr>
        <w:t xml:space="preserve">комиссия по </w:t>
      </w:r>
      <w:r w:rsidRPr="00D00188">
        <w:rPr>
          <w:sz w:val="28"/>
          <w:szCs w:val="28"/>
        </w:rPr>
        <w:t xml:space="preserve">поступлению и выбытию активов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</w:t>
      </w:r>
      <w:r>
        <w:rPr>
          <w:sz w:val="28"/>
          <w:szCs w:val="28"/>
        </w:rPr>
        <w:t>7 г. Невинномысска</w:t>
      </w:r>
      <w:r w:rsidRPr="00F429F6">
        <w:rPr>
          <w:color w:val="000000"/>
          <w:sz w:val="28"/>
          <w:szCs w:val="28"/>
        </w:rPr>
        <w:t xml:space="preserve"> (далее Комиссия).</w:t>
      </w:r>
      <w:r w:rsidRPr="004B526C">
        <w:rPr>
          <w:color w:val="000000"/>
          <w:sz w:val="28"/>
          <w:szCs w:val="28"/>
        </w:rPr>
        <w:t xml:space="preserve"> </w:t>
      </w:r>
    </w:p>
    <w:p w:rsidR="00DE50B2" w:rsidRPr="004B526C" w:rsidRDefault="00DE50B2" w:rsidP="00DE50B2">
      <w:pPr>
        <w:ind w:firstLine="708"/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Комиссия принимает решение на основании уведомительного письма МКУ «Межведомственный учетный центр» города Невинномысска о рассмотрении вопроса о признании дебиторской задолженности сомнительной или безнадежной к взысканию.</w:t>
      </w:r>
      <w:r>
        <w:rPr>
          <w:color w:val="000000"/>
          <w:sz w:val="28"/>
          <w:szCs w:val="28"/>
        </w:rPr>
        <w:t xml:space="preserve"> </w:t>
      </w:r>
      <w:r w:rsidRPr="004B526C">
        <w:rPr>
          <w:color w:val="000000"/>
          <w:sz w:val="28"/>
          <w:szCs w:val="28"/>
        </w:rPr>
        <w:t>Заседание комиссии проводится на следующий рабочий день после поступления уведомительного письма от МКУ «Межведомственный учетный центр» города Невинномысска.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3.2. Комиссия может признать дебиторскую задолженность сомнительной или безнадежной к взысканию или откажет в признании. Для этого Комиссия устанавливает факт возникновения обстоятель</w:t>
      </w:r>
      <w:proofErr w:type="gramStart"/>
      <w:r w:rsidRPr="004B526C">
        <w:rPr>
          <w:color w:val="000000"/>
          <w:sz w:val="28"/>
          <w:szCs w:val="28"/>
        </w:rPr>
        <w:t>ств дл</w:t>
      </w:r>
      <w:proofErr w:type="gramEnd"/>
      <w:r w:rsidRPr="004B526C">
        <w:rPr>
          <w:color w:val="000000"/>
          <w:sz w:val="28"/>
          <w:szCs w:val="28"/>
        </w:rPr>
        <w:t>я признания дебиторской задолженности сомнительной или безнадежной к взысканию.</w:t>
      </w:r>
      <w:r>
        <w:rPr>
          <w:color w:val="000000"/>
          <w:sz w:val="28"/>
          <w:szCs w:val="28"/>
        </w:rPr>
        <w:t xml:space="preserve"> </w:t>
      </w:r>
      <w:r w:rsidRPr="004B526C">
        <w:rPr>
          <w:color w:val="000000"/>
          <w:sz w:val="28"/>
          <w:szCs w:val="28"/>
        </w:rPr>
        <w:t>При необходимости запрашивает у МКУ «Межведомственный учетный центр» города Невинномысска другие документы и разъяснения.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3.3. Комиссия признает дебиторскую задолженность сомнительной или безнадежной к взысканию,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DE50B2" w:rsidRPr="004B526C" w:rsidRDefault="00DE50B2" w:rsidP="00DE50B2">
      <w:pPr>
        <w:ind w:firstLine="708"/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4B526C">
        <w:rPr>
          <w:color w:val="000000"/>
          <w:sz w:val="28"/>
          <w:szCs w:val="28"/>
        </w:rPr>
        <w:t>окончания срока возможного возобновления процедуры взыскания</w:t>
      </w:r>
      <w:proofErr w:type="gramEnd"/>
      <w:r w:rsidRPr="004B526C">
        <w:rPr>
          <w:color w:val="000000"/>
          <w:sz w:val="28"/>
          <w:szCs w:val="28"/>
        </w:rPr>
        <w:t>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3.4.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3.5. Для признания дебиторской задолженности сомнительной или безнадежной к взысканию необходимы следующие документы: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а) выписка из бухгалтерской отчетности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</w:t>
      </w:r>
      <w:r>
        <w:rPr>
          <w:sz w:val="28"/>
          <w:szCs w:val="28"/>
        </w:rPr>
        <w:t>7 г. Невинномысска</w:t>
      </w:r>
      <w:r w:rsidRPr="00D00188">
        <w:rPr>
          <w:color w:val="000000"/>
          <w:sz w:val="28"/>
          <w:szCs w:val="28"/>
        </w:rPr>
        <w:t>;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б) документы, подтверждающие случаи признания задолженности безнадежной к взысканию: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копия постановления о прекращении исполнительного производства;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lastRenderedPageBreak/>
        <w:t>– копия решения суда об отказе в удовлетворении требований (части требований) о взыскании задолженности с должника;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proofErr w:type="gramStart"/>
      <w:r w:rsidRPr="004B526C">
        <w:rPr>
          <w:color w:val="000000"/>
          <w:sz w:val="28"/>
          <w:szCs w:val="28"/>
        </w:rPr>
        <w:t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копия свидетельства о смерти гражданина (справка из отдела ЗАГС) или копия судебного решения</w:t>
      </w:r>
      <w:r>
        <w:rPr>
          <w:color w:val="000000"/>
          <w:sz w:val="28"/>
          <w:szCs w:val="28"/>
        </w:rPr>
        <w:t xml:space="preserve"> об объявлении физического лица </w:t>
      </w:r>
      <w:r w:rsidRPr="004B526C">
        <w:rPr>
          <w:color w:val="000000"/>
          <w:sz w:val="28"/>
          <w:szCs w:val="28"/>
        </w:rPr>
        <w:t>(индивидуального предпринимателя) умершим или о признании его безвестно отсутствующим;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в) документы, подтверждающие случаи признания задолженности сомнительной: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– договор с контрагентом, выписка из него или копия договора;</w:t>
      </w:r>
      <w:r w:rsidRPr="004B526C">
        <w:rPr>
          <w:color w:val="000000"/>
          <w:sz w:val="28"/>
          <w:szCs w:val="28"/>
        </w:rPr>
        <w:br/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3.6. Решение </w:t>
      </w:r>
      <w:r w:rsidRPr="005C7257">
        <w:rPr>
          <w:color w:val="000000"/>
          <w:sz w:val="28"/>
          <w:szCs w:val="28"/>
        </w:rPr>
        <w:t xml:space="preserve">Комиссии </w:t>
      </w:r>
      <w:r w:rsidRPr="00F97A79">
        <w:rPr>
          <w:color w:val="000000"/>
          <w:sz w:val="28"/>
          <w:szCs w:val="28"/>
        </w:rPr>
        <w:t>о</w:t>
      </w:r>
      <w:r w:rsidRPr="004B526C">
        <w:rPr>
          <w:color w:val="000000"/>
          <w:sz w:val="28"/>
          <w:szCs w:val="28"/>
        </w:rPr>
        <w:t>формляется Актом о признании дебиторской задолженности сомнительной или безнадежной к взысканию, являющегося неотъемлемой часть настоящего Положения.</w:t>
      </w:r>
    </w:p>
    <w:p w:rsidR="00DE50B2" w:rsidRPr="004B526C" w:rsidRDefault="00DE50B2" w:rsidP="00DE50B2">
      <w:pPr>
        <w:ind w:firstLine="708"/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Решение комиссии о признании дебиторской задолженности сомнительной или безнадежной к взысканию утверждается </w:t>
      </w:r>
      <w:r>
        <w:rPr>
          <w:color w:val="000000"/>
          <w:sz w:val="28"/>
          <w:szCs w:val="28"/>
        </w:rPr>
        <w:t>директором</w:t>
      </w:r>
      <w:r w:rsidRPr="00D00188">
        <w:rPr>
          <w:color w:val="000000"/>
          <w:sz w:val="28"/>
          <w:szCs w:val="28"/>
        </w:rPr>
        <w:t xml:space="preserve">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</w:t>
      </w:r>
      <w:r>
        <w:rPr>
          <w:sz w:val="28"/>
          <w:szCs w:val="28"/>
        </w:rPr>
        <w:t>7 г. Невинномысска</w:t>
      </w:r>
      <w:r>
        <w:rPr>
          <w:color w:val="000000"/>
          <w:sz w:val="28"/>
          <w:szCs w:val="28"/>
        </w:rPr>
        <w:t>.</w:t>
      </w:r>
    </w:p>
    <w:p w:rsidR="00DE50B2" w:rsidRPr="004B526C" w:rsidRDefault="00DE50B2" w:rsidP="00DE50B2">
      <w:pPr>
        <w:rPr>
          <w:color w:val="000000"/>
          <w:sz w:val="28"/>
          <w:szCs w:val="28"/>
        </w:rPr>
      </w:pPr>
    </w:p>
    <w:p w:rsidR="00DE50B2" w:rsidRPr="004B526C" w:rsidRDefault="00DE50B2" w:rsidP="00DE50B2">
      <w:pPr>
        <w:rPr>
          <w:color w:val="000000"/>
          <w:sz w:val="28"/>
          <w:szCs w:val="28"/>
        </w:rPr>
        <w:sectPr w:rsidR="00DE50B2" w:rsidRPr="004B526C" w:rsidSect="008360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DE50B2" w:rsidRDefault="00DE50B2" w:rsidP="00DE50B2">
      <w:pPr>
        <w:jc w:val="right"/>
        <w:rPr>
          <w:sz w:val="28"/>
          <w:szCs w:val="28"/>
        </w:rPr>
      </w:pPr>
      <w:r w:rsidRPr="004B526C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Pr="004B526C">
        <w:rPr>
          <w:color w:val="000000"/>
          <w:sz w:val="28"/>
          <w:szCs w:val="28"/>
        </w:rPr>
        <w:t xml:space="preserve"> </w:t>
      </w:r>
      <w:r w:rsidRPr="004B526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</w:t>
      </w:r>
      <w:r w:rsidRPr="004B526C">
        <w:rPr>
          <w:color w:val="000000"/>
          <w:sz w:val="28"/>
          <w:szCs w:val="28"/>
        </w:rPr>
        <w:t xml:space="preserve"> Положению</w:t>
      </w:r>
      <w:r w:rsidRPr="001E55F9">
        <w:rPr>
          <w:sz w:val="28"/>
          <w:szCs w:val="28"/>
        </w:rPr>
        <w:t xml:space="preserve"> </w:t>
      </w:r>
    </w:p>
    <w:p w:rsidR="00DE50B2" w:rsidRPr="00F97A79" w:rsidRDefault="00DE50B2" w:rsidP="00DE50B2">
      <w:pPr>
        <w:jc w:val="right"/>
        <w:rPr>
          <w:bCs/>
          <w:color w:val="000000"/>
          <w:sz w:val="28"/>
          <w:szCs w:val="28"/>
        </w:rPr>
      </w:pPr>
      <w:r w:rsidRPr="00F97A79">
        <w:rPr>
          <w:bCs/>
          <w:color w:val="000000"/>
          <w:sz w:val="28"/>
          <w:szCs w:val="28"/>
        </w:rPr>
        <w:t xml:space="preserve">о признании </w:t>
      </w:r>
      <w:proofErr w:type="gramStart"/>
      <w:r w:rsidRPr="00F97A79">
        <w:rPr>
          <w:bCs/>
          <w:color w:val="000000"/>
          <w:sz w:val="28"/>
          <w:szCs w:val="28"/>
        </w:rPr>
        <w:t>дебиторской</w:t>
      </w:r>
      <w:proofErr w:type="gramEnd"/>
    </w:p>
    <w:p w:rsidR="00DE50B2" w:rsidRPr="00F97A79" w:rsidRDefault="00DE50B2" w:rsidP="00DE50B2">
      <w:pPr>
        <w:jc w:val="right"/>
        <w:rPr>
          <w:bCs/>
          <w:color w:val="000000"/>
          <w:sz w:val="28"/>
          <w:szCs w:val="28"/>
        </w:rPr>
      </w:pPr>
      <w:r w:rsidRPr="00F97A79">
        <w:rPr>
          <w:bCs/>
          <w:color w:val="000000"/>
          <w:sz w:val="28"/>
          <w:szCs w:val="28"/>
        </w:rPr>
        <w:t xml:space="preserve"> задолженности сомнительной</w:t>
      </w:r>
    </w:p>
    <w:p w:rsidR="00DE50B2" w:rsidRPr="00F97A79" w:rsidRDefault="00DE50B2" w:rsidP="00DE50B2">
      <w:pPr>
        <w:jc w:val="right"/>
        <w:rPr>
          <w:sz w:val="28"/>
          <w:szCs w:val="28"/>
        </w:rPr>
      </w:pPr>
      <w:r w:rsidRPr="00F97A79">
        <w:rPr>
          <w:bCs/>
          <w:color w:val="000000"/>
          <w:sz w:val="28"/>
          <w:szCs w:val="28"/>
        </w:rPr>
        <w:t xml:space="preserve"> или </w:t>
      </w:r>
      <w:proofErr w:type="gramStart"/>
      <w:r w:rsidRPr="00F97A79">
        <w:rPr>
          <w:bCs/>
          <w:color w:val="000000"/>
          <w:sz w:val="28"/>
          <w:szCs w:val="28"/>
        </w:rPr>
        <w:t>безнадежной</w:t>
      </w:r>
      <w:proofErr w:type="gramEnd"/>
      <w:r w:rsidRPr="00F97A79">
        <w:rPr>
          <w:bCs/>
          <w:color w:val="000000"/>
          <w:sz w:val="28"/>
          <w:szCs w:val="28"/>
        </w:rPr>
        <w:t xml:space="preserve"> к взысканию</w:t>
      </w:r>
    </w:p>
    <w:p w:rsidR="00DE50B2" w:rsidRPr="004B526C" w:rsidRDefault="00DE50B2" w:rsidP="00DE50B2">
      <w:pPr>
        <w:jc w:val="right"/>
        <w:rPr>
          <w:color w:val="000000"/>
          <w:sz w:val="28"/>
          <w:szCs w:val="28"/>
        </w:rPr>
      </w:pPr>
    </w:p>
    <w:p w:rsidR="00DE50B2" w:rsidRPr="004B526C" w:rsidRDefault="00DE50B2" w:rsidP="00DE50B2">
      <w:pPr>
        <w:jc w:val="right"/>
        <w:rPr>
          <w:color w:val="000000"/>
          <w:sz w:val="28"/>
          <w:szCs w:val="28"/>
          <w:highlight w:val="yellow"/>
        </w:rPr>
      </w:pPr>
      <w:r w:rsidRPr="00F429F6">
        <w:rPr>
          <w:color w:val="000000"/>
          <w:sz w:val="28"/>
          <w:szCs w:val="28"/>
        </w:rPr>
        <w:t>УТВЕРЖДАЮ:</w:t>
      </w:r>
    </w:p>
    <w:p w:rsidR="00DE50B2" w:rsidRDefault="00DE50B2" w:rsidP="00DE50B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D00188">
        <w:rPr>
          <w:sz w:val="28"/>
          <w:szCs w:val="28"/>
        </w:rPr>
        <w:t xml:space="preserve"> </w:t>
      </w:r>
      <w:r w:rsidRPr="00ED096D">
        <w:rPr>
          <w:sz w:val="28"/>
          <w:szCs w:val="28"/>
        </w:rPr>
        <w:t xml:space="preserve">МБОУ </w:t>
      </w:r>
      <w:r>
        <w:rPr>
          <w:sz w:val="28"/>
          <w:szCs w:val="28"/>
        </w:rPr>
        <w:t>СОШ</w:t>
      </w:r>
      <w:r w:rsidRPr="00ED096D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:rsidR="00DE50B2" w:rsidRDefault="00DE50B2" w:rsidP="00DE50B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г. Невинномысска</w:t>
      </w:r>
    </w:p>
    <w:p w:rsidR="00DE50B2" w:rsidRPr="004B526C" w:rsidRDefault="00DE50B2" w:rsidP="00DE50B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И.Л.Гусейн</w:t>
      </w:r>
    </w:p>
    <w:p w:rsidR="00DE50B2" w:rsidRDefault="00DE50B2" w:rsidP="00DE50B2">
      <w:pPr>
        <w:jc w:val="right"/>
        <w:rPr>
          <w:color w:val="000000"/>
          <w:sz w:val="28"/>
          <w:szCs w:val="28"/>
        </w:rPr>
      </w:pPr>
    </w:p>
    <w:p w:rsidR="00DE50B2" w:rsidRPr="004B526C" w:rsidRDefault="00DE50B2" w:rsidP="00DE50B2">
      <w:pPr>
        <w:jc w:val="center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Акт № </w:t>
      </w:r>
    </w:p>
    <w:p w:rsidR="00DE50B2" w:rsidRPr="004B526C" w:rsidRDefault="00DE50B2" w:rsidP="00DE50B2">
      <w:pPr>
        <w:jc w:val="center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о признании дебиторской задолженности сомнительной или безнадежной к взысканию </w:t>
      </w:r>
    </w:p>
    <w:p w:rsidR="00DE50B2" w:rsidRPr="004B526C" w:rsidRDefault="00DE50B2" w:rsidP="00DE50B2">
      <w:pPr>
        <w:jc w:val="center"/>
        <w:rPr>
          <w:iCs/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от </w:t>
      </w:r>
      <w:r w:rsidRPr="004B526C">
        <w:rPr>
          <w:iCs/>
          <w:color w:val="000000"/>
          <w:sz w:val="28"/>
          <w:szCs w:val="28"/>
        </w:rPr>
        <w:t>«__» ____________ 20__ г.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 xml:space="preserve">В соответствии с Положением №__ от __________ </w:t>
      </w:r>
      <w:proofErr w:type="gramStart"/>
      <w:r w:rsidRPr="004B526C">
        <w:rPr>
          <w:color w:val="000000"/>
          <w:sz w:val="28"/>
          <w:szCs w:val="28"/>
        </w:rPr>
        <w:t>г</w:t>
      </w:r>
      <w:proofErr w:type="gramEnd"/>
      <w:r w:rsidRPr="004B526C">
        <w:rPr>
          <w:color w:val="000000"/>
          <w:sz w:val="28"/>
          <w:szCs w:val="28"/>
        </w:rPr>
        <w:t>.: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признать следующую дебиторс</w:t>
      </w:r>
      <w:r>
        <w:rPr>
          <w:color w:val="000000"/>
          <w:sz w:val="28"/>
          <w:szCs w:val="28"/>
        </w:rPr>
        <w:t xml:space="preserve">кую задолженность безнадежной к </w:t>
      </w:r>
      <w:r w:rsidRPr="004B526C">
        <w:rPr>
          <w:color w:val="000000"/>
          <w:sz w:val="28"/>
          <w:szCs w:val="28"/>
        </w:rPr>
        <w:t>взысканию: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1580"/>
        <w:gridCol w:w="1935"/>
        <w:gridCol w:w="2034"/>
        <w:gridCol w:w="1701"/>
      </w:tblGrid>
      <w:tr w:rsidR="00DE50B2" w:rsidRPr="00C52FDF" w:rsidTr="00491FA4">
        <w:tc>
          <w:tcPr>
            <w:tcW w:w="2263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Наименование организации (Ф. И. О.) должника, ИНН/ОГРН/КПП</w:t>
            </w:r>
          </w:p>
        </w:tc>
        <w:tc>
          <w:tcPr>
            <w:tcW w:w="1580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Сумма дебиторской задолженности, руб.</w:t>
            </w:r>
          </w:p>
        </w:tc>
        <w:tc>
          <w:tcPr>
            <w:tcW w:w="1935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2034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701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Основания для возобновления процедуры взыскания задолженности*</w:t>
            </w:r>
          </w:p>
        </w:tc>
      </w:tr>
      <w:tr w:rsidR="00DE50B2" w:rsidRPr="004B526C" w:rsidTr="00491FA4">
        <w:tc>
          <w:tcPr>
            <w:tcW w:w="2263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  <w:r w:rsidRPr="004B526C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1935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  <w:r w:rsidRPr="004B526C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034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  <w:r w:rsidRPr="004B526C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1701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  <w:r w:rsidRPr="004B526C">
              <w:rPr>
                <w:color w:val="000000"/>
                <w:sz w:val="28"/>
                <w:szCs w:val="28"/>
              </w:rPr>
              <w:t>   </w:t>
            </w:r>
          </w:p>
        </w:tc>
      </w:tr>
    </w:tbl>
    <w:p w:rsidR="00DE50B2" w:rsidRDefault="00DE50B2" w:rsidP="00DE50B2">
      <w:pPr>
        <w:jc w:val="both"/>
        <w:rPr>
          <w:color w:val="000000"/>
          <w:sz w:val="28"/>
          <w:szCs w:val="28"/>
        </w:rPr>
      </w:pP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* При наличии оснований для во</w:t>
      </w:r>
      <w:r>
        <w:rPr>
          <w:color w:val="000000"/>
          <w:sz w:val="28"/>
          <w:szCs w:val="28"/>
        </w:rPr>
        <w:t xml:space="preserve">зобновления процедуры взыскания </w:t>
      </w:r>
      <w:r w:rsidRPr="004B526C">
        <w:rPr>
          <w:color w:val="000000"/>
          <w:sz w:val="28"/>
          <w:szCs w:val="28"/>
        </w:rPr>
        <w:t xml:space="preserve">дебиторской задолженности указывается дата </w:t>
      </w:r>
      <w:proofErr w:type="gramStart"/>
      <w:r w:rsidRPr="004B526C">
        <w:rPr>
          <w:color w:val="000000"/>
          <w:sz w:val="28"/>
          <w:szCs w:val="28"/>
        </w:rPr>
        <w:t>окончания срока возможного возобновления процедуры взыскания</w:t>
      </w:r>
      <w:proofErr w:type="gramEnd"/>
      <w:r w:rsidRPr="004B526C">
        <w:rPr>
          <w:color w:val="000000"/>
          <w:sz w:val="28"/>
          <w:szCs w:val="28"/>
        </w:rPr>
        <w:t>.</w:t>
      </w:r>
    </w:p>
    <w:p w:rsidR="00DE50B2" w:rsidRDefault="00DE50B2" w:rsidP="00DE50B2">
      <w:pPr>
        <w:jc w:val="both"/>
        <w:rPr>
          <w:color w:val="000000"/>
          <w:sz w:val="28"/>
          <w:szCs w:val="28"/>
        </w:rPr>
      </w:pPr>
      <w:r w:rsidRPr="004B526C">
        <w:rPr>
          <w:color w:val="000000"/>
          <w:sz w:val="28"/>
          <w:szCs w:val="28"/>
        </w:rPr>
        <w:t>2) отсутствуют основания для во</w:t>
      </w:r>
      <w:r>
        <w:rPr>
          <w:color w:val="000000"/>
          <w:sz w:val="28"/>
          <w:szCs w:val="28"/>
        </w:rPr>
        <w:t xml:space="preserve">зобновления процедуры взыскания </w:t>
      </w:r>
      <w:r w:rsidRPr="004B526C">
        <w:rPr>
          <w:color w:val="000000"/>
          <w:sz w:val="28"/>
          <w:szCs w:val="28"/>
        </w:rPr>
        <w:t>задолженности:</w:t>
      </w:r>
    </w:p>
    <w:p w:rsidR="00DE50B2" w:rsidRPr="004B526C" w:rsidRDefault="00DE50B2" w:rsidP="00DE50B2">
      <w:pPr>
        <w:jc w:val="both"/>
        <w:rPr>
          <w:color w:val="000000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1580"/>
        <w:gridCol w:w="1935"/>
        <w:gridCol w:w="2034"/>
        <w:gridCol w:w="1842"/>
      </w:tblGrid>
      <w:tr w:rsidR="00DE50B2" w:rsidRPr="00C52FDF" w:rsidTr="00491FA4">
        <w:trPr>
          <w:trHeight w:val="2947"/>
        </w:trPr>
        <w:tc>
          <w:tcPr>
            <w:tcW w:w="2263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lastRenderedPageBreak/>
              <w:t>Наименование организации (Ф. И. О.) должника, ИНН/ОГРН/КПП</w:t>
            </w:r>
          </w:p>
        </w:tc>
        <w:tc>
          <w:tcPr>
            <w:tcW w:w="1580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Сумма дебиторской задолженности, руб.</w:t>
            </w:r>
          </w:p>
        </w:tc>
        <w:tc>
          <w:tcPr>
            <w:tcW w:w="1935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2034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842" w:type="dxa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 xml:space="preserve">Причины </w:t>
            </w:r>
            <w:proofErr w:type="gramStart"/>
            <w:r w:rsidRPr="00C52FDF">
              <w:rPr>
                <w:bCs/>
                <w:color w:val="000000"/>
                <w:sz w:val="28"/>
                <w:szCs w:val="28"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  <w:tr w:rsidR="00DE50B2" w:rsidRPr="004B526C" w:rsidTr="00491FA4">
        <w:tc>
          <w:tcPr>
            <w:tcW w:w="2263" w:type="dxa"/>
            <w:hideMark/>
          </w:tcPr>
          <w:p w:rsidR="00DE50B2" w:rsidRPr="004B526C" w:rsidRDefault="00DE50B2" w:rsidP="00491FA4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E50B2" w:rsidRDefault="00DE50B2" w:rsidP="00DE50B2">
      <w:pPr>
        <w:rPr>
          <w:color w:val="000000"/>
          <w:sz w:val="28"/>
          <w:szCs w:val="28"/>
        </w:rPr>
      </w:pPr>
    </w:p>
    <w:p w:rsidR="00DE50B2" w:rsidRDefault="00DE50B2" w:rsidP="00DE50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526C">
        <w:rPr>
          <w:color w:val="000000"/>
          <w:sz w:val="28"/>
          <w:szCs w:val="28"/>
        </w:rPr>
        <w:t>ризнать следующую дебиторскую задолженность сомнительной:</w:t>
      </w:r>
    </w:p>
    <w:p w:rsidR="00DE50B2" w:rsidRPr="004B526C" w:rsidRDefault="00DE50B2" w:rsidP="00DE50B2">
      <w:pPr>
        <w:rPr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1426"/>
        <w:gridCol w:w="854"/>
        <w:gridCol w:w="568"/>
        <w:gridCol w:w="568"/>
        <w:gridCol w:w="1915"/>
        <w:gridCol w:w="2182"/>
      </w:tblGrid>
      <w:tr w:rsidR="00DE50B2" w:rsidRPr="00C52FDF" w:rsidTr="00491FA4">
        <w:tc>
          <w:tcPr>
            <w:tcW w:w="0" w:type="auto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Сумма дебиторской задолженности, руб.</w:t>
            </w:r>
          </w:p>
        </w:tc>
        <w:tc>
          <w:tcPr>
            <w:tcW w:w="2448" w:type="dxa"/>
            <w:gridSpan w:val="2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Основание для признания дебиторской задолженности сомнительной</w:t>
            </w:r>
          </w:p>
        </w:tc>
        <w:tc>
          <w:tcPr>
            <w:tcW w:w="0" w:type="auto"/>
            <w:vAlign w:val="center"/>
            <w:hideMark/>
          </w:tcPr>
          <w:p w:rsidR="00DE50B2" w:rsidRPr="00C52FDF" w:rsidRDefault="00DE50B2" w:rsidP="00491F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52FDF">
              <w:rPr>
                <w:bCs/>
                <w:color w:val="000000"/>
                <w:sz w:val="28"/>
                <w:szCs w:val="28"/>
              </w:rPr>
              <w:t>Документ, подтверждающий обстоятельство для признания дебиторской задолженности сомнительной</w:t>
            </w:r>
          </w:p>
        </w:tc>
      </w:tr>
      <w:tr w:rsidR="00DE50B2" w:rsidRPr="004B526C" w:rsidTr="00491FA4">
        <w:tc>
          <w:tcPr>
            <w:tcW w:w="0" w:type="auto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  <w:r w:rsidRPr="004B526C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2448" w:type="dxa"/>
            <w:gridSpan w:val="2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  <w:r w:rsidRPr="004B526C">
              <w:rPr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0" w:type="auto"/>
            <w:hideMark/>
          </w:tcPr>
          <w:p w:rsidR="00DE50B2" w:rsidRPr="004B526C" w:rsidRDefault="00DE50B2" w:rsidP="00491FA4">
            <w:pPr>
              <w:rPr>
                <w:color w:val="000000"/>
                <w:sz w:val="28"/>
                <w:szCs w:val="28"/>
              </w:rPr>
            </w:pPr>
            <w:r w:rsidRPr="004B526C">
              <w:rPr>
                <w:color w:val="000000"/>
                <w:sz w:val="28"/>
                <w:szCs w:val="28"/>
              </w:rPr>
              <w:t>   </w:t>
            </w: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50B2" w:rsidRDefault="00DE50B2" w:rsidP="00491FA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DE50B2" w:rsidRPr="004B526C" w:rsidRDefault="00DE50B2" w:rsidP="00491FA4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C725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Комиссия </w:t>
            </w:r>
            <w:r w:rsidRPr="005C7257">
              <w:rPr>
                <w:sz w:val="28"/>
                <w:szCs w:val="28"/>
              </w:rPr>
              <w:t xml:space="preserve">по поступлению и выбытию активов </w:t>
            </w:r>
            <w:r w:rsidRPr="00ED096D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СОШ</w:t>
            </w:r>
            <w:r w:rsidRPr="00ED096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 г. Невинномысска:</w:t>
            </w: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B526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B526C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0B2" w:rsidRPr="00F97A79" w:rsidRDefault="00DE50B2" w:rsidP="00491FA4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50B2" w:rsidRPr="004B526C" w:rsidTr="00491F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E50B2" w:rsidRPr="004B526C" w:rsidRDefault="00DE50B2" w:rsidP="00491FA4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0B2" w:rsidRPr="00F97A79" w:rsidRDefault="00DE50B2" w:rsidP="00491FA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7A79">
              <w:rPr>
                <w:rFonts w:eastAsia="Calibri"/>
                <w:color w:val="000000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DE50B2" w:rsidRPr="004B526C" w:rsidRDefault="00DE50B2" w:rsidP="00DE50B2">
      <w:pPr>
        <w:rPr>
          <w:color w:val="000000"/>
          <w:sz w:val="28"/>
          <w:szCs w:val="28"/>
        </w:rPr>
      </w:pPr>
    </w:p>
    <w:p w:rsidR="00DE50B2" w:rsidRDefault="00DE50B2" w:rsidP="00DE50B2">
      <w:pPr>
        <w:rPr>
          <w:sz w:val="28"/>
          <w:szCs w:val="28"/>
        </w:rPr>
      </w:pPr>
    </w:p>
    <w:p w:rsidR="00DE50B2" w:rsidRDefault="00DE50B2" w:rsidP="00DE50B2">
      <w:pPr>
        <w:rPr>
          <w:sz w:val="28"/>
          <w:szCs w:val="28"/>
        </w:rPr>
      </w:pPr>
    </w:p>
    <w:p w:rsidR="00DE50B2" w:rsidRDefault="00DE50B2" w:rsidP="00DE50B2">
      <w:pPr>
        <w:rPr>
          <w:sz w:val="28"/>
          <w:szCs w:val="28"/>
        </w:rPr>
      </w:pPr>
    </w:p>
    <w:p w:rsidR="005226F6" w:rsidRDefault="005226F6" w:rsidP="00DE50B2">
      <w:pPr>
        <w:jc w:val="center"/>
        <w:rPr>
          <w:sz w:val="28"/>
          <w:szCs w:val="28"/>
        </w:rPr>
      </w:pPr>
    </w:p>
    <w:sectPr w:rsidR="005226F6" w:rsidSect="001E1646">
      <w:pgSz w:w="11905" w:h="16837"/>
      <w:pgMar w:top="426" w:right="990" w:bottom="56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3F" w:rsidRDefault="0012603F" w:rsidP="00B72460">
      <w:r>
        <w:separator/>
      </w:r>
    </w:p>
  </w:endnote>
  <w:endnote w:type="continuationSeparator" w:id="0">
    <w:p w:rsidR="0012603F" w:rsidRDefault="0012603F" w:rsidP="00B7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CB" w:rsidRDefault="001260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CB" w:rsidRDefault="001260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CB" w:rsidRDefault="001260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3F" w:rsidRDefault="0012603F" w:rsidP="00B72460">
      <w:r>
        <w:separator/>
      </w:r>
    </w:p>
  </w:footnote>
  <w:footnote w:type="continuationSeparator" w:id="0">
    <w:p w:rsidR="0012603F" w:rsidRDefault="0012603F" w:rsidP="00B7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CB" w:rsidRDefault="001260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CB" w:rsidRDefault="001260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CB" w:rsidRDefault="001260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96CB0"/>
    <w:multiLevelType w:val="hybridMultilevel"/>
    <w:tmpl w:val="F15E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C57F3"/>
    <w:multiLevelType w:val="hybridMultilevel"/>
    <w:tmpl w:val="92006C80"/>
    <w:lvl w:ilvl="0" w:tplc="C7A4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415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2230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5EA0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1AD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041F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2C7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FEE2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E0A0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DC"/>
    <w:rsid w:val="000D14E4"/>
    <w:rsid w:val="000D48D6"/>
    <w:rsid w:val="0010625E"/>
    <w:rsid w:val="00120671"/>
    <w:rsid w:val="00121771"/>
    <w:rsid w:val="0012603F"/>
    <w:rsid w:val="001579B3"/>
    <w:rsid w:val="001818B4"/>
    <w:rsid w:val="001962C9"/>
    <w:rsid w:val="001A1A8D"/>
    <w:rsid w:val="001E1646"/>
    <w:rsid w:val="001F37A7"/>
    <w:rsid w:val="001F74AA"/>
    <w:rsid w:val="00216F53"/>
    <w:rsid w:val="00273BFF"/>
    <w:rsid w:val="002E3D3E"/>
    <w:rsid w:val="002F75CE"/>
    <w:rsid w:val="00301674"/>
    <w:rsid w:val="00366DA6"/>
    <w:rsid w:val="003B52D8"/>
    <w:rsid w:val="003B7BCF"/>
    <w:rsid w:val="003E2ACB"/>
    <w:rsid w:val="003F4F32"/>
    <w:rsid w:val="00492955"/>
    <w:rsid w:val="005014CE"/>
    <w:rsid w:val="005226F6"/>
    <w:rsid w:val="005A4440"/>
    <w:rsid w:val="005E210C"/>
    <w:rsid w:val="005F4391"/>
    <w:rsid w:val="00623D60"/>
    <w:rsid w:val="006A4007"/>
    <w:rsid w:val="00756751"/>
    <w:rsid w:val="00787C70"/>
    <w:rsid w:val="007A0CAD"/>
    <w:rsid w:val="007B6826"/>
    <w:rsid w:val="007C6517"/>
    <w:rsid w:val="007D539F"/>
    <w:rsid w:val="00812C83"/>
    <w:rsid w:val="0084479A"/>
    <w:rsid w:val="008459B3"/>
    <w:rsid w:val="00866089"/>
    <w:rsid w:val="00887AAF"/>
    <w:rsid w:val="008B3139"/>
    <w:rsid w:val="00957374"/>
    <w:rsid w:val="00961910"/>
    <w:rsid w:val="009C0976"/>
    <w:rsid w:val="009F7367"/>
    <w:rsid w:val="00A014C9"/>
    <w:rsid w:val="00A76BD8"/>
    <w:rsid w:val="00A80F48"/>
    <w:rsid w:val="00A91AD2"/>
    <w:rsid w:val="00AA0D59"/>
    <w:rsid w:val="00B37234"/>
    <w:rsid w:val="00B46F14"/>
    <w:rsid w:val="00B718E3"/>
    <w:rsid w:val="00B72460"/>
    <w:rsid w:val="00B9657E"/>
    <w:rsid w:val="00BD1227"/>
    <w:rsid w:val="00C175E7"/>
    <w:rsid w:val="00C237AE"/>
    <w:rsid w:val="00C3683C"/>
    <w:rsid w:val="00C766C5"/>
    <w:rsid w:val="00CA2333"/>
    <w:rsid w:val="00CA52A4"/>
    <w:rsid w:val="00CB379A"/>
    <w:rsid w:val="00CD5E09"/>
    <w:rsid w:val="00D02856"/>
    <w:rsid w:val="00D23CDC"/>
    <w:rsid w:val="00D4061B"/>
    <w:rsid w:val="00D502A7"/>
    <w:rsid w:val="00D5132F"/>
    <w:rsid w:val="00D610C8"/>
    <w:rsid w:val="00D62149"/>
    <w:rsid w:val="00D76FF0"/>
    <w:rsid w:val="00DA4C18"/>
    <w:rsid w:val="00DC136C"/>
    <w:rsid w:val="00DC7574"/>
    <w:rsid w:val="00DE0573"/>
    <w:rsid w:val="00DE50B2"/>
    <w:rsid w:val="00ED6918"/>
    <w:rsid w:val="00F5008F"/>
    <w:rsid w:val="00F8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CAD"/>
    <w:pPr>
      <w:keepNext/>
      <w:jc w:val="center"/>
      <w:outlineLvl w:val="0"/>
    </w:pPr>
    <w:rPr>
      <w:rFonts w:ascii="Rodeo" w:hAnsi="Rodeo"/>
      <w:sz w:val="32"/>
    </w:rPr>
  </w:style>
  <w:style w:type="paragraph" w:styleId="2">
    <w:name w:val="heading 2"/>
    <w:basedOn w:val="a"/>
    <w:next w:val="a"/>
    <w:link w:val="20"/>
    <w:qFormat/>
    <w:rsid w:val="007A0CA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A0C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A0CAD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CAD"/>
    <w:rPr>
      <w:rFonts w:ascii="Rodeo" w:hAnsi="Rodeo"/>
      <w:sz w:val="32"/>
      <w:szCs w:val="24"/>
    </w:rPr>
  </w:style>
  <w:style w:type="character" w:customStyle="1" w:styleId="20">
    <w:name w:val="Заголовок 2 Знак"/>
    <w:basedOn w:val="a0"/>
    <w:link w:val="2"/>
    <w:rsid w:val="007A0CA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A0CAD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A0CAD"/>
    <w:rPr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7567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uiPriority w:val="99"/>
    <w:rsid w:val="00756751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756751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5675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756751"/>
    <w:rPr>
      <w:rFonts w:ascii="Times New Roman" w:hAnsi="Times New Roman" w:cs="Times New Roman" w:hint="default"/>
      <w:sz w:val="24"/>
      <w:szCs w:val="24"/>
    </w:rPr>
  </w:style>
  <w:style w:type="paragraph" w:customStyle="1" w:styleId="msoorganizationname2">
    <w:name w:val="msoorganizationname2"/>
    <w:rsid w:val="00866089"/>
    <w:pPr>
      <w:jc w:val="center"/>
    </w:pPr>
    <w:rPr>
      <w:rFonts w:ascii="Franklin Gothic Demi Cond" w:hAnsi="Franklin Gothic Demi Cond"/>
      <w:color w:val="000000"/>
      <w:kern w:val="28"/>
      <w:sz w:val="27"/>
      <w:szCs w:val="27"/>
    </w:rPr>
  </w:style>
  <w:style w:type="paragraph" w:customStyle="1" w:styleId="msoaddress">
    <w:name w:val="msoaddress"/>
    <w:rsid w:val="00866089"/>
    <w:pPr>
      <w:jc w:val="center"/>
    </w:pPr>
    <w:rPr>
      <w:color w:val="000000"/>
      <w:kern w:val="28"/>
      <w:sz w:val="16"/>
      <w:szCs w:val="16"/>
    </w:rPr>
  </w:style>
  <w:style w:type="paragraph" w:styleId="a3">
    <w:name w:val="List Paragraph"/>
    <w:basedOn w:val="a"/>
    <w:uiPriority w:val="99"/>
    <w:qFormat/>
    <w:rsid w:val="007D539F"/>
    <w:pPr>
      <w:ind w:left="720"/>
      <w:contextualSpacing/>
    </w:pPr>
  </w:style>
  <w:style w:type="paragraph" w:customStyle="1" w:styleId="Default">
    <w:name w:val="Default"/>
    <w:rsid w:val="00CA52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DE50B2"/>
    <w:pPr>
      <w:widowControl w:val="0"/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50B2"/>
    <w:rPr>
      <w:b/>
      <w:sz w:val="28"/>
    </w:rPr>
  </w:style>
  <w:style w:type="paragraph" w:styleId="a6">
    <w:name w:val="header"/>
    <w:basedOn w:val="a"/>
    <w:link w:val="a7"/>
    <w:uiPriority w:val="99"/>
    <w:rsid w:val="00DE50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E50B2"/>
  </w:style>
  <w:style w:type="paragraph" w:styleId="a8">
    <w:name w:val="footer"/>
    <w:basedOn w:val="a"/>
    <w:link w:val="a9"/>
    <w:uiPriority w:val="99"/>
    <w:rsid w:val="00DE50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E50B2"/>
  </w:style>
  <w:style w:type="character" w:styleId="aa">
    <w:name w:val="Hyperlink"/>
    <w:basedOn w:val="a0"/>
    <w:uiPriority w:val="99"/>
    <w:unhideWhenUsed/>
    <w:rsid w:val="00DE50B2"/>
    <w:rPr>
      <w:strike w:val="0"/>
      <w:dstrike w:val="0"/>
      <w:color w:val="000000"/>
      <w:u w:val="none"/>
      <w:effect w:val="none"/>
    </w:rPr>
  </w:style>
  <w:style w:type="paragraph" w:styleId="ab">
    <w:name w:val="Normal (Web)"/>
    <w:basedOn w:val="a"/>
    <w:unhideWhenUsed/>
    <w:rsid w:val="00DE50B2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pyright-info">
    <w:name w:val="copyright-info"/>
    <w:basedOn w:val="a"/>
    <w:rsid w:val="00DE50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E5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sfinansy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sfinans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2019-02-19T07:42:00Z</cp:lastPrinted>
  <dcterms:created xsi:type="dcterms:W3CDTF">2019-02-19T07:29:00Z</dcterms:created>
  <dcterms:modified xsi:type="dcterms:W3CDTF">2019-02-19T07:45:00Z</dcterms:modified>
</cp:coreProperties>
</file>